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59" w:rsidRDefault="00101759" w:rsidP="00101759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>SÜREKLİ ENVANTER - ARALIKLI ENVANTER YÖNTEMLERİ</w:t>
      </w:r>
    </w:p>
    <w:p w:rsidR="00101759" w:rsidRDefault="00101759" w:rsidP="00101759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Satılan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Ticari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Malların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Maliyetinin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Hesaplanması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>:</w:t>
      </w:r>
      <w:r>
        <w:rPr>
          <w:rFonts w:ascii="Comic Sans MS" w:hAnsi="Comic Sans MS"/>
          <w:color w:val="000000"/>
          <w:sz w:val="18"/>
          <w:szCs w:val="18"/>
        </w:rPr>
        <w:t> 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İşletmeler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ticari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mal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satışlarından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elde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ettiği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kar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veya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zararın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belirlenmesi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için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satışlarını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ve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bu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satışların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maliyetlerini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belirlemeleri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gerekir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Satılan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ticari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mal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maliyetleri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aşağıdaki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şekilde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hesaplanabilir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>.</w:t>
      </w:r>
    </w:p>
    <w:tbl>
      <w:tblPr>
        <w:tblW w:w="453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646"/>
      </w:tblGrid>
      <w:tr w:rsidR="00101759" w:rsidRPr="00101759" w:rsidTr="00101759">
        <w:trPr>
          <w:tblCellSpacing w:w="0" w:type="dxa"/>
        </w:trPr>
        <w:tc>
          <w:tcPr>
            <w:tcW w:w="28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Başı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Mevcudu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+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İçi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Alışları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+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Giderleri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+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İskontoları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İadeleri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Sonu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Mevcudu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</w:t>
            </w:r>
          </w:p>
        </w:tc>
      </w:tr>
      <w:tr w:rsidR="00101759" w:rsidRPr="00101759" w:rsidTr="00101759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proofErr w:type="spellStart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Satılan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Malların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Maliyeti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...</w:t>
            </w:r>
          </w:p>
        </w:tc>
      </w:tr>
    </w:tbl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Muhasebe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kayıtlarında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iki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tür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hesaplama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vardır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Bunlardan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biri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sürekli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ikincisi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aralıklı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br/>
        <w:t xml:space="preserve">1. </w:t>
      </w:r>
      <w:proofErr w:type="spellStart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Sürekli</w:t>
      </w:r>
      <w:proofErr w:type="spellEnd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Yöntemi</w:t>
      </w:r>
      <w:proofErr w:type="spellEnd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 Bu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satış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işleminden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sonra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hemen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ardından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Yani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satış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ile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birlikte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da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Bu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uygulanabilmesi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için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satışların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maliyetlerinin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kolay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şekilde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tespit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edilmesi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gerekir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proofErr w:type="spellStart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Örnek</w:t>
      </w:r>
      <w:proofErr w:type="spellEnd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 </w:t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- 02.12.2008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10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500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almıştır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- 04.12.2008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3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550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satıyor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- 08.12.2008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2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600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satıyor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al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ALACAK</w:t>
            </w:r>
          </w:p>
        </w:tc>
      </w:tr>
      <w:tr w:rsidR="00101759" w:rsidRPr="00101759" w:rsidTr="00101759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....................................02.12.2008......................................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153 TİCARİ MALLAR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191 İNDİRİLECEK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alımı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(500 x 10 = 5.000)..............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5.000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900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5.900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sat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....................................04.12.2008......................................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600 Y.İ. SATIŞLAR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391 HESAPLANAN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(550 x 3 = 1.650)................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1.947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1.650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297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iyet kayd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....................................04.12.2008......................................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621 SATILAN MALLAR MALİYETİ HS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153 TİCARİ MALLAR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Satılan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malınmaliyeti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(500 x 3 = 1.500).....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1.500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1.500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sat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....................................08.12.2008......................................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600 Y.İ. SATIŞLAR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391 HESAPLANAN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(600 x 2 = 1.200)................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1.416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1.200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216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iyet Kayd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....................................08.12.2008......................................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621 SATILAN </w:t>
            </w:r>
            <w:r w:rsidR="00D472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TİC.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 MALİYETİ HS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153 TİCARİ MALLAR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Satılan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malınmaliyeti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(500 x 2 = 1.000).....</w:t>
            </w:r>
          </w:p>
        </w:tc>
        <w:tc>
          <w:tcPr>
            <w:tcW w:w="1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1.000</w:t>
            </w:r>
          </w:p>
        </w:tc>
      </w:tr>
    </w:tbl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D47267" w:rsidRDefault="00D47267">
      <w:pP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</w:pPr>
    </w:p>
    <w:p w:rsidR="00471F55" w:rsidRDefault="00101759">
      <w:pPr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lastRenderedPageBreak/>
        <w:t xml:space="preserve">2.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Aralıklı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Envanter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Yöntemi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  <w:shd w:val="clear" w:color="auto" w:fill="FFFFFF"/>
        </w:rPr>
        <w:t>:</w:t>
      </w:r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 Bu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yöntemde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satılan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ticari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malların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maliyeti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dönem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sonunda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envanter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sonucu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bulunan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mal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stoklarına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göre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satışların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maliyeti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toplu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olarak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bir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defada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kayıt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yapılır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. 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proofErr w:type="spellStart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Örnek</w:t>
      </w:r>
      <w:proofErr w:type="spellEnd"/>
      <w:r w:rsidRPr="00101759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 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Sürekli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yaptığımız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örneği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aralıklı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yöntemine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göre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yapalım</w:t>
      </w:r>
      <w:proofErr w:type="spellEnd"/>
      <w:proofErr w:type="gram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;</w:t>
      </w:r>
      <w:proofErr w:type="gram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- 02.12.2008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10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500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almıştır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- 04.12.2008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3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550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satıyor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- 08.12.2008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2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tanesi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600 TL den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peşin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satıyor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KDV % 18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hariç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al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ALACAK</w:t>
            </w:r>
          </w:p>
        </w:tc>
      </w:tr>
      <w:tr w:rsidR="00101759" w:rsidRPr="00101759" w:rsidTr="00101759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....................................02.12.2008......................................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153 TİCARİ MALLAR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191 İNDİRİLECEK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alımı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(500 x 10 = 5.000)..............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5.000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900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5.900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sat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....................................04.12.2008......................................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600 Y.İ. SATIŞLAR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391 HESAPLANAN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(550 x 3 = 1.650)................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1.947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1.650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297</w:t>
            </w:r>
          </w:p>
        </w:tc>
      </w:tr>
    </w:tbl>
    <w:p w:rsidR="00101759" w:rsidRPr="00101759" w:rsidRDefault="00101759" w:rsidP="00101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 satım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....................................08.12.2008......................................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100 KASA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600 Y.İ. SATIŞLAR HESABI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391 HESAPLANAN KDV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Peşin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(600 x 2 = 1.200)................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1.416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1.200</w:t>
            </w: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216</w:t>
            </w:r>
          </w:p>
        </w:tc>
      </w:tr>
    </w:tbl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Dönem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sonunda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yapılacak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satışların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: 10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televizyon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alınmış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bunların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adedi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satıldığından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dönem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mal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mevcudu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5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yani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; 500 TL x 5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adet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= 2.500 TL dir.</w:t>
      </w:r>
    </w:p>
    <w:tbl>
      <w:tblPr>
        <w:tblW w:w="453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582"/>
      </w:tblGrid>
      <w:tr w:rsidR="00101759" w:rsidRPr="00101759" w:rsidTr="00101759">
        <w:trPr>
          <w:tblCellSpacing w:w="0" w:type="dxa"/>
        </w:trPr>
        <w:tc>
          <w:tcPr>
            <w:tcW w:w="28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Başı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Mevcudu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6F6996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+0</w:t>
            </w:r>
            <w:r w:rsidR="00101759"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İçi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Alışları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6F6996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+</w:t>
            </w:r>
            <w:r w:rsidR="00101759"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5.000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Gİderleri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6F6996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-0</w:t>
            </w:r>
            <w:r w:rsidR="00101759"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İskontoları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6F6996" w:rsidP="006F69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-0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Alış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İadeleri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6F6996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-0</w:t>
            </w:r>
            <w:r w:rsidR="00101759"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101759" w:rsidRPr="00101759" w:rsidTr="0010175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Dönem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Sonu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Mevcudu</w:t>
            </w:r>
            <w:proofErr w:type="spellEnd"/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:</w:t>
            </w:r>
            <w:r w:rsidR="006F699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SAYIM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(2.500)</w:t>
            </w:r>
          </w:p>
        </w:tc>
      </w:tr>
      <w:tr w:rsidR="00101759" w:rsidRPr="00101759" w:rsidTr="00101759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proofErr w:type="spellStart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Satılan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F6996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TİC.</w:t>
            </w:r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Malların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Maliyeti</w:t>
            </w:r>
            <w:proofErr w:type="spellEnd"/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2.500</w:t>
            </w:r>
          </w:p>
        </w:tc>
      </w:tr>
    </w:tbl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lastRenderedPageBreak/>
        <w:t> 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liyet kaydı"/>
      </w:tblPr>
      <w:tblGrid>
        <w:gridCol w:w="534"/>
        <w:gridCol w:w="4576"/>
        <w:gridCol w:w="1525"/>
        <w:gridCol w:w="1525"/>
      </w:tblGrid>
      <w:tr w:rsidR="00101759" w:rsidRPr="00101759" w:rsidTr="00101759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ALACAK</w:t>
            </w:r>
          </w:p>
        </w:tc>
      </w:tr>
      <w:tr w:rsidR="00101759" w:rsidRPr="00101759" w:rsidTr="00101759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....................................31.12.2008......................................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621 SATILAN </w:t>
            </w:r>
            <w:r w:rsidR="005358C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TİC.</w:t>
            </w:r>
            <w:bookmarkStart w:id="0" w:name="_GoBack"/>
            <w:bookmarkEnd w:id="0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 MALİYETİ HS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153 TİCARİ MALLAR HESABI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Satılan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malın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maliyeti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</w:t>
            </w:r>
            <w:proofErr w:type="spellEnd"/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24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2.500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101759" w:rsidRPr="00101759" w:rsidRDefault="00101759" w:rsidP="0010175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10175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2.500</w:t>
            </w:r>
          </w:p>
        </w:tc>
      </w:tr>
    </w:tbl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 </w:t>
      </w:r>
    </w:p>
    <w:p w:rsidR="00101759" w:rsidRPr="00101759" w:rsidRDefault="00101759" w:rsidP="0010175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Sürekli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satışların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ardından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hesaplarız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aralıklı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envanter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yönteminde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dönem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sonunda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toplu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olarak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defada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hesaplarız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Yapılan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iki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yöntemde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de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satılan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malların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maliyeti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ve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bunun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sonucunda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veya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zarar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aynıdır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Hangi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kullanırsak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kullanalım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sonuç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aynı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çıkar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Sadece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yöntemleri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farklıdır</w:t>
      </w:r>
      <w:proofErr w:type="spellEnd"/>
      <w:r w:rsidRPr="00101759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101759" w:rsidRDefault="00101759"/>
    <w:sectPr w:rsidR="0010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9"/>
    <w:rsid w:val="0004505C"/>
    <w:rsid w:val="00101759"/>
    <w:rsid w:val="001C1CF8"/>
    <w:rsid w:val="005358CE"/>
    <w:rsid w:val="006F6996"/>
    <w:rsid w:val="00D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EA94-C2D9-4977-8CDC-DCC1194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10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Egitim</cp:lastModifiedBy>
  <cp:revision>3</cp:revision>
  <dcterms:created xsi:type="dcterms:W3CDTF">2017-09-27T10:38:00Z</dcterms:created>
  <dcterms:modified xsi:type="dcterms:W3CDTF">2018-12-14T17:41:00Z</dcterms:modified>
</cp:coreProperties>
</file>