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F8" w:rsidRPr="00580B84" w:rsidRDefault="002D5EF8" w:rsidP="002D5EF8">
      <w:pPr>
        <w:pStyle w:val="NormalWeb"/>
        <w:shd w:val="clear" w:color="auto" w:fill="FFFFFF"/>
        <w:rPr>
          <w:color w:val="000000"/>
        </w:rPr>
      </w:pPr>
      <w:r w:rsidRPr="00580B84">
        <w:rPr>
          <w:rStyle w:val="Strong"/>
          <w:color w:val="000000"/>
        </w:rPr>
        <w:t>MİZAN</w:t>
      </w:r>
      <w:r w:rsidR="006842FD">
        <w:rPr>
          <w:rStyle w:val="Strong"/>
          <w:color w:val="000000"/>
        </w:rPr>
        <w:t xml:space="preserve"> NEDİR..NE İŞE YARAR...HESAPLAR MİZANDA NASIL GÖSTERİLİR...</w:t>
      </w:r>
      <w:bookmarkStart w:id="0" w:name="_GoBack"/>
      <w:bookmarkEnd w:id="0"/>
    </w:p>
    <w:p w:rsidR="00580B84" w:rsidRDefault="002D5EF8" w:rsidP="002D5EF8">
      <w:pPr>
        <w:pStyle w:val="NormalWeb"/>
        <w:shd w:val="clear" w:color="auto" w:fill="FFFFFF"/>
        <w:rPr>
          <w:rStyle w:val="accordionpanelcontent"/>
          <w:color w:val="000000"/>
        </w:rPr>
      </w:pPr>
      <w:r w:rsidRPr="00580B84">
        <w:rPr>
          <w:rStyle w:val="Strong"/>
          <w:color w:val="000000"/>
        </w:rPr>
        <w:t>1. Mizanın Tanımı:</w:t>
      </w:r>
      <w:r w:rsidRPr="00580B84">
        <w:rPr>
          <w:color w:val="000000"/>
        </w:rPr>
        <w:t> </w:t>
      </w:r>
      <w:r w:rsidRPr="00580B84">
        <w:rPr>
          <w:rStyle w:val="accordionpanelcontent"/>
          <w:color w:val="000000"/>
        </w:rPr>
        <w:t>Mizan, muhasebede kontrol aracı olarak kullanılan, hesapların belli tarih</w:t>
      </w:r>
      <w:r w:rsidR="00580B84">
        <w:rPr>
          <w:rStyle w:val="accordionpanelcontent"/>
          <w:color w:val="000000"/>
        </w:rPr>
        <w:t>lerde incelenmesini sağlayan</w:t>
      </w:r>
      <w:r w:rsidRPr="00580B84">
        <w:rPr>
          <w:rStyle w:val="accordionpanelcontent"/>
          <w:color w:val="000000"/>
        </w:rPr>
        <w:t xml:space="preserve">, borç ve alacak toplamlarıyla bakiyelerinin bir tabloya toplu bir şekilde yazılmasıyla oluşan </w:t>
      </w:r>
      <w:r w:rsidRPr="00580B84">
        <w:rPr>
          <w:rStyle w:val="accordionpanelcontent"/>
          <w:color w:val="000000"/>
          <w:u w:val="single"/>
        </w:rPr>
        <w:t>özet bir tablodur</w:t>
      </w:r>
      <w:r w:rsidRPr="00580B84">
        <w:rPr>
          <w:rStyle w:val="accordionpanelcontent"/>
          <w:color w:val="000000"/>
        </w:rPr>
        <w:t xml:space="preserve">. </w:t>
      </w:r>
    </w:p>
    <w:p w:rsidR="002D5EF8" w:rsidRPr="00580B84" w:rsidRDefault="002D5EF8" w:rsidP="002D5EF8">
      <w:pPr>
        <w:pStyle w:val="NormalWeb"/>
        <w:shd w:val="clear" w:color="auto" w:fill="FFFFFF"/>
        <w:rPr>
          <w:color w:val="000000"/>
        </w:rPr>
      </w:pPr>
      <w:r w:rsidRPr="00580B84">
        <w:rPr>
          <w:rStyle w:val="accordionpanelcontent"/>
          <w:color w:val="000000"/>
          <w:u w:val="single"/>
        </w:rPr>
        <w:t>Mizan, hesapların gerçek duruma uygun olup olmadığını, kurallarına göre çalıştırılıp çalıştırılmadığını da kontrol etmemizi sağlar</w:t>
      </w:r>
      <w:r w:rsidRPr="00580B84">
        <w:rPr>
          <w:rStyle w:val="accordionpanelcontent"/>
          <w:color w:val="000000"/>
        </w:rPr>
        <w:t>.</w:t>
      </w:r>
    </w:p>
    <w:p w:rsidR="002D5EF8" w:rsidRPr="00580B84" w:rsidRDefault="002D5EF8" w:rsidP="002D5EF8">
      <w:pPr>
        <w:pStyle w:val="NormalWeb"/>
        <w:shd w:val="clear" w:color="auto" w:fill="FFFFFF"/>
        <w:rPr>
          <w:color w:val="000000"/>
        </w:rPr>
      </w:pPr>
      <w:r w:rsidRPr="00580B84">
        <w:rPr>
          <w:color w:val="000000"/>
        </w:rPr>
        <w:t>Mizan çeşitleri 3 türlüdür. Bunlar aylık mizan, genel geçici mizan ve kesin mizandır.</w:t>
      </w:r>
    </w:p>
    <w:p w:rsidR="002D5EF8" w:rsidRPr="00580B84" w:rsidRDefault="002D5EF8" w:rsidP="002D5EF8">
      <w:pPr>
        <w:pStyle w:val="NormalWeb"/>
        <w:shd w:val="clear" w:color="auto" w:fill="FFFFFF"/>
        <w:rPr>
          <w:color w:val="000000"/>
        </w:rPr>
      </w:pPr>
      <w:r w:rsidRPr="00580B84">
        <w:rPr>
          <w:rStyle w:val="Strong"/>
          <w:color w:val="000000"/>
        </w:rPr>
        <w:t>1.1. Aylık Mizan: </w:t>
      </w:r>
      <w:r w:rsidRPr="00580B84">
        <w:rPr>
          <w:color w:val="000000"/>
        </w:rPr>
        <w:t>Yevmiye defteri kayıtlarını defterikebire geçirdikten sonra genellikle ay sonlarında kontrol amacı ile düzenlenen mizandır.</w:t>
      </w:r>
    </w:p>
    <w:p w:rsidR="002D5EF8" w:rsidRPr="00580B84" w:rsidRDefault="002D5EF8" w:rsidP="002D5EF8">
      <w:pPr>
        <w:pStyle w:val="NormalWeb"/>
        <w:shd w:val="clear" w:color="auto" w:fill="FFFFFF"/>
        <w:rPr>
          <w:color w:val="000000"/>
        </w:rPr>
      </w:pPr>
      <w:r w:rsidRPr="00580B84">
        <w:rPr>
          <w:rStyle w:val="Strong"/>
          <w:color w:val="000000"/>
        </w:rPr>
        <w:t>1.2. Genel Geçici Mizan:</w:t>
      </w:r>
      <w:r w:rsidRPr="00580B84">
        <w:rPr>
          <w:color w:val="000000"/>
        </w:rPr>
        <w:t> 31 aralık tarihinde düzenlenen, aylık mizanlardan farklı olmamakla beraber bütün muhasebe dönemini kapsayan mizandır. Bu mizana aralık ayı mizanı da denir.</w:t>
      </w:r>
    </w:p>
    <w:tbl>
      <w:tblPr>
        <w:tblW w:w="9008" w:type="dxa"/>
        <w:jc w:val="center"/>
        <w:tblCellSpacing w:w="0" w:type="dxa"/>
        <w:tblCellMar>
          <w:left w:w="0" w:type="dxa"/>
          <w:right w:w="0" w:type="dxa"/>
        </w:tblCellMar>
        <w:tblLook w:val="04A0" w:firstRow="1" w:lastRow="0" w:firstColumn="1" w:lastColumn="0" w:noHBand="0" w:noVBand="1"/>
      </w:tblPr>
      <w:tblGrid>
        <w:gridCol w:w="9016"/>
      </w:tblGrid>
      <w:tr w:rsidR="002D5EF8" w:rsidRPr="00580B84" w:rsidTr="00551072">
        <w:trPr>
          <w:tblCellSpacing w:w="0" w:type="dxa"/>
          <w:jc w:val="center"/>
        </w:trPr>
        <w:tc>
          <w:tcPr>
            <w:tcW w:w="9008" w:type="dxa"/>
            <w:hideMark/>
          </w:tcPr>
          <w:p w:rsidR="002D5EF8" w:rsidRPr="00580B84" w:rsidRDefault="002D5EF8" w:rsidP="002D5EF8">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80B84">
              <w:rPr>
                <w:rFonts w:ascii="Times New Roman" w:eastAsia="Times New Roman" w:hAnsi="Times New Roman" w:cs="Times New Roman"/>
                <w:b/>
                <w:bCs/>
                <w:color w:val="000000"/>
                <w:sz w:val="24"/>
                <w:szCs w:val="24"/>
                <w:lang w:eastAsia="tr-TR"/>
              </w:rPr>
              <w:t>1.3. Kesin Mizan:</w:t>
            </w:r>
            <w:r w:rsidRPr="00580B84">
              <w:rPr>
                <w:rFonts w:ascii="Times New Roman" w:eastAsia="Times New Roman" w:hAnsi="Times New Roman" w:cs="Times New Roman"/>
                <w:color w:val="000000"/>
                <w:sz w:val="24"/>
                <w:szCs w:val="24"/>
                <w:lang w:eastAsia="tr-TR"/>
              </w:rPr>
              <w:t> Dönem sonu işlemleri ile ilgili yevmiye ve defterikebir kayıtları yapılarak hesapların defterikebir bakiyeleri, envanter sonuçlarına göre düzeltildikten sonra yani dönem sonu ile ilgili kayıtlardan sonra düzenlenen mizandır.</w:t>
            </w:r>
          </w:p>
          <w:p w:rsidR="002D5EF8" w:rsidRPr="00580B84" w:rsidRDefault="002D5EF8" w:rsidP="002D5EF8">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80B84">
              <w:rPr>
                <w:rFonts w:ascii="Times New Roman" w:eastAsia="Times New Roman" w:hAnsi="Times New Roman" w:cs="Times New Roman"/>
                <w:b/>
                <w:bCs/>
                <w:color w:val="000000"/>
                <w:sz w:val="24"/>
                <w:szCs w:val="24"/>
                <w:lang w:eastAsia="tr-TR"/>
              </w:rPr>
              <w:t>2. Mizanın Şekli:</w:t>
            </w:r>
            <w:r w:rsidRPr="00580B84">
              <w:rPr>
                <w:rFonts w:ascii="Times New Roman" w:eastAsia="Times New Roman" w:hAnsi="Times New Roman" w:cs="Times New Roman"/>
                <w:color w:val="000000"/>
                <w:sz w:val="24"/>
                <w:szCs w:val="24"/>
                <w:lang w:eastAsia="tr-TR"/>
              </w:rPr>
              <w:t> İşletmeler yevmiye defteri kayıtlarını defteri kebire geçirdikten sonra genellikle ay sonlarında defteri kebir hesaplarının borç ve alacak tutarları ile borç ve alacak bakiyelerini bir cetvel halinde düzenlerler. İşletmeler hesapları görmek ve kontrol etmek istediklerinde mizan düzenleyebilirler.</w:t>
            </w:r>
          </w:p>
          <w:p w:rsidR="002D5EF8" w:rsidRPr="00580B84" w:rsidRDefault="002D5EF8" w:rsidP="002D5EF8">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80B84">
              <w:rPr>
                <w:rFonts w:ascii="Times New Roman" w:eastAsia="Times New Roman" w:hAnsi="Times New Roman" w:cs="Times New Roman"/>
                <w:b/>
                <w:bCs/>
                <w:color w:val="000000"/>
                <w:sz w:val="24"/>
                <w:szCs w:val="24"/>
                <w:lang w:eastAsia="tr-TR"/>
              </w:rPr>
              <w:t>Mizan örneği:</w:t>
            </w:r>
          </w:p>
          <w:tbl>
            <w:tblPr>
              <w:tblW w:w="90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Mizan"/>
            </w:tblPr>
            <w:tblGrid>
              <w:gridCol w:w="615"/>
              <w:gridCol w:w="2857"/>
              <w:gridCol w:w="1382"/>
              <w:gridCol w:w="1382"/>
              <w:gridCol w:w="1382"/>
              <w:gridCol w:w="1382"/>
            </w:tblGrid>
            <w:tr w:rsidR="002D5EF8" w:rsidRPr="00580B84">
              <w:trPr>
                <w:trHeight w:val="330"/>
                <w:tblCellSpacing w:w="0" w:type="dxa"/>
                <w:jc w:val="center"/>
              </w:trPr>
              <w:tc>
                <w:tcPr>
                  <w:tcW w:w="600" w:type="dxa"/>
                  <w:vMerge w:val="restart"/>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Sıra</w:t>
                  </w:r>
                  <w:r w:rsidRPr="00580B84">
                    <w:rPr>
                      <w:rFonts w:ascii="Times New Roman" w:eastAsia="Times New Roman" w:hAnsi="Times New Roman" w:cs="Times New Roman"/>
                      <w:b/>
                      <w:bCs/>
                      <w:sz w:val="24"/>
                      <w:szCs w:val="24"/>
                      <w:lang w:eastAsia="tr-TR"/>
                    </w:rPr>
                    <w:br/>
                    <w:t>No</w:t>
                  </w:r>
                </w:p>
              </w:tc>
              <w:tc>
                <w:tcPr>
                  <w:tcW w:w="2790" w:type="dxa"/>
                  <w:vMerge w:val="restart"/>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HESAP İSMİ</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TUTAR</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KALAN</w:t>
                  </w:r>
                </w:p>
              </w:tc>
            </w:tr>
            <w:tr w:rsidR="002D5EF8" w:rsidRPr="00580B84">
              <w:trPr>
                <w:trHeight w:val="345"/>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p>
              </w:tc>
              <w:tc>
                <w:tcPr>
                  <w:tcW w:w="13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BORÇ</w:t>
                  </w:r>
                </w:p>
              </w:tc>
              <w:tc>
                <w:tcPr>
                  <w:tcW w:w="13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ALACAK</w:t>
                  </w:r>
                </w:p>
              </w:tc>
              <w:tc>
                <w:tcPr>
                  <w:tcW w:w="13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BORÇ</w:t>
                  </w:r>
                </w:p>
              </w:tc>
              <w:tc>
                <w:tcPr>
                  <w:tcW w:w="13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ALACAK</w:t>
                  </w:r>
                </w:p>
              </w:tc>
            </w:tr>
            <w:tr w:rsidR="002D5EF8" w:rsidRPr="00580B84">
              <w:trPr>
                <w:trHeight w:val="2595"/>
                <w:tblCellSpacing w:w="0" w:type="dxa"/>
                <w:jc w:val="center"/>
              </w:trPr>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r>
            <w:tr w:rsidR="002D5EF8" w:rsidRPr="00580B84">
              <w:trPr>
                <w:trHeight w:val="375"/>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TOPLAM</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c>
      </w:tr>
    </w:tbl>
    <w:p w:rsidR="000C1809" w:rsidRPr="00580B84" w:rsidRDefault="000C1809">
      <w:pPr>
        <w:rPr>
          <w:rFonts w:ascii="Times New Roman" w:hAnsi="Times New Roman" w:cs="Times New Roman"/>
          <w:sz w:val="24"/>
          <w:szCs w:val="24"/>
        </w:rPr>
      </w:pPr>
    </w:p>
    <w:p w:rsidR="002D5EF8" w:rsidRPr="00580B84" w:rsidRDefault="002D5EF8">
      <w:pPr>
        <w:rPr>
          <w:rFonts w:ascii="Times New Roman" w:hAnsi="Times New Roman" w:cs="Times New Roman"/>
          <w:color w:val="000000"/>
          <w:sz w:val="24"/>
          <w:szCs w:val="24"/>
          <w:shd w:val="clear" w:color="auto" w:fill="FFFFFF"/>
        </w:rPr>
      </w:pPr>
      <w:r w:rsidRPr="00580B84">
        <w:rPr>
          <w:rStyle w:val="Strong"/>
          <w:rFonts w:ascii="Times New Roman" w:hAnsi="Times New Roman" w:cs="Times New Roman"/>
          <w:color w:val="000000"/>
          <w:sz w:val="24"/>
          <w:szCs w:val="24"/>
          <w:shd w:val="clear" w:color="auto" w:fill="FFFFFF"/>
        </w:rPr>
        <w:t>3. Mizanın Düzenlenmesi: </w:t>
      </w:r>
      <w:r w:rsidRPr="00580B84">
        <w:rPr>
          <w:rFonts w:ascii="Times New Roman" w:hAnsi="Times New Roman" w:cs="Times New Roman"/>
          <w:color w:val="000000"/>
          <w:sz w:val="24"/>
          <w:szCs w:val="24"/>
          <w:shd w:val="clear" w:color="auto" w:fill="FFFFFF"/>
        </w:rPr>
        <w:t>Mizan düzenlerken defterikebire aktarılmış yevmiye defteri kayıtlarını kapsadığından Mizanın başına mizanın düzenleniş tarihi ve mizana dahil edilmiş en son yevmiye maddesi numarası kaydedilir.</w:t>
      </w:r>
    </w:p>
    <w:p w:rsidR="002D5EF8" w:rsidRPr="00580B84" w:rsidRDefault="002D5EF8">
      <w:pPr>
        <w:rPr>
          <w:rFonts w:ascii="Times New Roman" w:hAnsi="Times New Roman" w:cs="Times New Roman"/>
          <w:color w:val="000000"/>
          <w:sz w:val="24"/>
          <w:szCs w:val="24"/>
          <w:shd w:val="clear" w:color="auto" w:fill="FFFFFF"/>
        </w:rPr>
      </w:pPr>
    </w:p>
    <w:p w:rsidR="00551072" w:rsidRPr="00580B84" w:rsidRDefault="00551072">
      <w:pPr>
        <w:rPr>
          <w:rFonts w:ascii="Times New Roman" w:hAnsi="Times New Roman" w:cs="Times New Roman"/>
          <w:color w:val="000000"/>
          <w:sz w:val="24"/>
          <w:szCs w:val="24"/>
          <w:shd w:val="clear" w:color="auto" w:fill="FFFFFF"/>
        </w:rPr>
      </w:pPr>
    </w:p>
    <w:tbl>
      <w:tblPr>
        <w:tblW w:w="11025" w:type="dxa"/>
        <w:jc w:val="center"/>
        <w:tblCellSpacing w:w="0" w:type="dxa"/>
        <w:tblCellMar>
          <w:left w:w="0" w:type="dxa"/>
          <w:right w:w="0" w:type="dxa"/>
        </w:tblCellMar>
        <w:tblLook w:val="04A0" w:firstRow="1" w:lastRow="0" w:firstColumn="1" w:lastColumn="0" w:noHBand="0" w:noVBand="1"/>
      </w:tblPr>
      <w:tblGrid>
        <w:gridCol w:w="5513"/>
        <w:gridCol w:w="5512"/>
      </w:tblGrid>
      <w:tr w:rsidR="002D5EF8" w:rsidRPr="00580B84" w:rsidTr="002D5EF8">
        <w:trPr>
          <w:tblCellSpacing w:w="0" w:type="dxa"/>
          <w:jc w:val="center"/>
        </w:trPr>
        <w:tc>
          <w:tcPr>
            <w:tcW w:w="0" w:type="auto"/>
            <w:gridSpan w:val="2"/>
            <w:hideMark/>
          </w:tcPr>
          <w:p w:rsidR="002D5EF8" w:rsidRPr="00580B84" w:rsidRDefault="00551072" w:rsidP="002D5EF8">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80B84">
              <w:rPr>
                <w:rFonts w:ascii="Times New Roman" w:eastAsia="Times New Roman" w:hAnsi="Times New Roman" w:cs="Times New Roman"/>
                <w:b/>
                <w:bCs/>
                <w:color w:val="000000"/>
                <w:sz w:val="24"/>
                <w:szCs w:val="24"/>
                <w:lang w:eastAsia="tr-TR"/>
              </w:rPr>
              <w:t xml:space="preserve">            Ö</w:t>
            </w:r>
            <w:r w:rsidR="002D5EF8" w:rsidRPr="00580B84">
              <w:rPr>
                <w:rFonts w:ascii="Times New Roman" w:eastAsia="Times New Roman" w:hAnsi="Times New Roman" w:cs="Times New Roman"/>
                <w:b/>
                <w:bCs/>
                <w:color w:val="000000"/>
                <w:sz w:val="24"/>
                <w:szCs w:val="24"/>
                <w:lang w:eastAsia="tr-TR"/>
              </w:rPr>
              <w:t>rnek:</w:t>
            </w:r>
            <w:r w:rsidR="002D5EF8" w:rsidRPr="00580B84">
              <w:rPr>
                <w:rFonts w:ascii="Times New Roman" w:eastAsia="Times New Roman" w:hAnsi="Times New Roman" w:cs="Times New Roman"/>
                <w:color w:val="000000"/>
                <w:sz w:val="24"/>
                <w:szCs w:val="24"/>
                <w:lang w:eastAsia="tr-TR"/>
              </w:rPr>
              <w:t> İşletmenin büyük defter kayıtları aşağıda verilmiştir. Buna göre işletmenin aylık mizanını düzenleyiniz.</w:t>
            </w:r>
          </w:p>
        </w:tc>
      </w:tr>
      <w:tr w:rsidR="00551072" w:rsidRPr="00580B84" w:rsidTr="002D5EF8">
        <w:trPr>
          <w:tblCellSpacing w:w="0" w:type="dxa"/>
          <w:jc w:val="center"/>
        </w:trPr>
        <w:tc>
          <w:tcPr>
            <w:tcW w:w="0" w:type="auto"/>
            <w:gridSpan w:val="2"/>
          </w:tcPr>
          <w:p w:rsidR="00551072" w:rsidRPr="00580B84" w:rsidRDefault="00551072" w:rsidP="002D5EF8">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p>
        </w:tc>
      </w:tr>
      <w:tr w:rsidR="00551072" w:rsidRPr="00580B84" w:rsidTr="002D5EF8">
        <w:trPr>
          <w:tblCellSpacing w:w="0" w:type="dxa"/>
          <w:jc w:val="center"/>
        </w:trPr>
        <w:tc>
          <w:tcPr>
            <w:tcW w:w="0" w:type="auto"/>
            <w:gridSpan w:val="2"/>
          </w:tcPr>
          <w:p w:rsidR="00551072" w:rsidRPr="00580B84" w:rsidRDefault="00551072" w:rsidP="002D5EF8">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p>
        </w:tc>
      </w:tr>
      <w:tr w:rsidR="00551072" w:rsidRPr="00580B84" w:rsidTr="002D5EF8">
        <w:trPr>
          <w:tblCellSpacing w:w="0" w:type="dxa"/>
          <w:jc w:val="center"/>
        </w:trPr>
        <w:tc>
          <w:tcPr>
            <w:tcW w:w="0" w:type="auto"/>
            <w:gridSpan w:val="2"/>
          </w:tcPr>
          <w:p w:rsidR="00551072" w:rsidRPr="00580B84" w:rsidRDefault="00551072" w:rsidP="002D5EF8">
            <w:pPr>
              <w:spacing w:before="100" w:beforeAutospacing="1" w:after="100" w:afterAutospacing="1" w:line="240" w:lineRule="auto"/>
              <w:rPr>
                <w:rFonts w:ascii="Times New Roman" w:eastAsia="Times New Roman" w:hAnsi="Times New Roman" w:cs="Times New Roman"/>
                <w:b/>
                <w:bCs/>
                <w:color w:val="000000"/>
                <w:sz w:val="24"/>
                <w:szCs w:val="24"/>
                <w:lang w:eastAsia="tr-TR"/>
              </w:rPr>
            </w:pPr>
          </w:p>
        </w:tc>
      </w:tr>
      <w:tr w:rsidR="002D5EF8" w:rsidRPr="00580B84" w:rsidTr="00580B84">
        <w:trPr>
          <w:tblCellSpacing w:w="0" w:type="dxa"/>
          <w:jc w:val="center"/>
        </w:trPr>
        <w:tc>
          <w:tcPr>
            <w:tcW w:w="5514" w:type="dxa"/>
            <w:hideMark/>
          </w:tcPr>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100 kasa hesabı"/>
            </w:tblPr>
            <w:tblGrid>
              <w:gridCol w:w="734"/>
              <w:gridCol w:w="1368"/>
              <w:gridCol w:w="1368"/>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100 KASA HESABI</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24.000</w:t>
                  </w:r>
                  <w:r w:rsidRPr="00580B84">
                    <w:rPr>
                      <w:rFonts w:ascii="Times New Roman" w:eastAsia="Times New Roman" w:hAnsi="Times New Roman" w:cs="Times New Roman"/>
                      <w:sz w:val="24"/>
                      <w:szCs w:val="24"/>
                      <w:lang w:eastAsia="tr-TR"/>
                    </w:rPr>
                    <w:br/>
                    <w:t>12.000</w:t>
                  </w:r>
                  <w:r w:rsidRPr="00580B84">
                    <w:rPr>
                      <w:rFonts w:ascii="Times New Roman" w:eastAsia="Times New Roman" w:hAnsi="Times New Roman" w:cs="Times New Roman"/>
                      <w:sz w:val="24"/>
                      <w:szCs w:val="24"/>
                      <w:lang w:eastAsia="tr-TR"/>
                    </w:rPr>
                    <w:br/>
                    <w:t>30.000</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12.000</w:t>
                  </w:r>
                  <w:r w:rsidRPr="00580B84">
                    <w:rPr>
                      <w:rFonts w:ascii="Times New Roman" w:eastAsia="Times New Roman" w:hAnsi="Times New Roman" w:cs="Times New Roman"/>
                      <w:sz w:val="24"/>
                      <w:szCs w:val="24"/>
                      <w:lang w:eastAsia="tr-TR"/>
                    </w:rPr>
                    <w:br/>
                    <w:t>25.000</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66.000</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37.000</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121 alacak senetleri hesabı"/>
            </w:tblPr>
            <w:tblGrid>
              <w:gridCol w:w="736"/>
              <w:gridCol w:w="1367"/>
              <w:gridCol w:w="1367"/>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121 ALACAKAK SENETLERİ HS</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36.000</w:t>
                  </w:r>
                  <w:r w:rsidRPr="00580B84">
                    <w:rPr>
                      <w:rFonts w:ascii="Times New Roman" w:eastAsia="Times New Roman" w:hAnsi="Times New Roman" w:cs="Times New Roman"/>
                      <w:sz w:val="24"/>
                      <w:szCs w:val="24"/>
                      <w:lang w:eastAsia="tr-TR"/>
                    </w:rPr>
                    <w:br/>
                    <w:t>11.000</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47.000</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252 binalar hesabı"/>
            </w:tblPr>
            <w:tblGrid>
              <w:gridCol w:w="734"/>
              <w:gridCol w:w="1368"/>
              <w:gridCol w:w="1368"/>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252 BİNALAR HESABI</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90.000</w:t>
                  </w:r>
                  <w:r w:rsidRPr="00580B84">
                    <w:rPr>
                      <w:rFonts w:ascii="Times New Roman" w:eastAsia="Times New Roman" w:hAnsi="Times New Roman" w:cs="Times New Roman"/>
                      <w:sz w:val="24"/>
                      <w:szCs w:val="24"/>
                      <w:lang w:eastAsia="tr-TR"/>
                    </w:rPr>
                    <w:br/>
                    <w:t>120.000</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210.000</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320 satıcılar  hesabı"/>
            </w:tblPr>
            <w:tblGrid>
              <w:gridCol w:w="734"/>
              <w:gridCol w:w="1368"/>
              <w:gridCol w:w="1368"/>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320 SATICILAR HESABI</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40.000</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70.000</w:t>
                  </w:r>
                  <w:r w:rsidRPr="00580B84">
                    <w:rPr>
                      <w:rFonts w:ascii="Times New Roman" w:eastAsia="Times New Roman" w:hAnsi="Times New Roman" w:cs="Times New Roman"/>
                      <w:sz w:val="24"/>
                      <w:szCs w:val="24"/>
                      <w:lang w:eastAsia="tr-TR"/>
                    </w:rPr>
                    <w:br/>
                    <w:t>25.000</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40.000</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115.000</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400 banka kredileri hesabı hesabı"/>
            </w:tblPr>
            <w:tblGrid>
              <w:gridCol w:w="736"/>
              <w:gridCol w:w="1367"/>
              <w:gridCol w:w="1367"/>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400 BANKA KREDİLERİ HESABI</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33.000</w:t>
                  </w:r>
                  <w:r w:rsidRPr="00580B84">
                    <w:rPr>
                      <w:rFonts w:ascii="Times New Roman" w:eastAsia="Times New Roman" w:hAnsi="Times New Roman" w:cs="Times New Roman"/>
                      <w:sz w:val="24"/>
                      <w:szCs w:val="24"/>
                      <w:lang w:eastAsia="tr-TR"/>
                    </w:rPr>
                    <w:br/>
                    <w:t>50.000</w:t>
                  </w:r>
                  <w:r w:rsidRPr="00580B84">
                    <w:rPr>
                      <w:rFonts w:ascii="Times New Roman" w:eastAsia="Times New Roman" w:hAnsi="Times New Roman" w:cs="Times New Roman"/>
                      <w:sz w:val="24"/>
                      <w:szCs w:val="24"/>
                      <w:lang w:eastAsia="tr-TR"/>
                    </w:rPr>
                    <w:br/>
                    <w:t>25.000</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108.000</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500 sermaye hesabı"/>
            </w:tblPr>
            <w:tblGrid>
              <w:gridCol w:w="734"/>
              <w:gridCol w:w="1368"/>
              <w:gridCol w:w="1368"/>
              <w:gridCol w:w="1030"/>
            </w:tblGrid>
            <w:tr w:rsidR="002D5EF8" w:rsidRPr="00580B84" w:rsidTr="00580B84">
              <w:trPr>
                <w:trHeight w:val="255"/>
                <w:tblCellSpacing w:w="0" w:type="dxa"/>
                <w:jc w:val="center"/>
              </w:trPr>
              <w:tc>
                <w:tcPr>
                  <w:tcW w:w="734"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500 SERMAYE HESABI</w:t>
                  </w:r>
                </w:p>
              </w:tc>
              <w:tc>
                <w:tcPr>
                  <w:tcW w:w="103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229.000</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229.000</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c>
        <w:tc>
          <w:tcPr>
            <w:tcW w:w="5511" w:type="dxa"/>
            <w:hideMark/>
          </w:tcPr>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102 bankalar hesabı"/>
            </w:tblPr>
            <w:tblGrid>
              <w:gridCol w:w="734"/>
              <w:gridCol w:w="1368"/>
              <w:gridCol w:w="1368"/>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102 BANKALAR HESABI</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17.000</w:t>
                  </w:r>
                  <w:r w:rsidRPr="00580B84">
                    <w:rPr>
                      <w:rFonts w:ascii="Times New Roman" w:eastAsia="Times New Roman" w:hAnsi="Times New Roman" w:cs="Times New Roman"/>
                      <w:sz w:val="24"/>
                      <w:szCs w:val="24"/>
                      <w:lang w:eastAsia="tr-TR"/>
                    </w:rPr>
                    <w:br/>
                    <w:t>40.000</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10.000</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57.000</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10.000</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153 ticari mallar hesabı"/>
            </w:tblPr>
            <w:tblGrid>
              <w:gridCol w:w="736"/>
              <w:gridCol w:w="1367"/>
              <w:gridCol w:w="1367"/>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153 TİCARİ MALLAR HESABI</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38.000</w:t>
                  </w:r>
                  <w:r w:rsidRPr="00580B84">
                    <w:rPr>
                      <w:rFonts w:ascii="Times New Roman" w:eastAsia="Times New Roman" w:hAnsi="Times New Roman" w:cs="Times New Roman"/>
                      <w:sz w:val="24"/>
                      <w:szCs w:val="24"/>
                      <w:lang w:eastAsia="tr-TR"/>
                    </w:rPr>
                    <w:br/>
                    <w:t>45.000</w:t>
                  </w:r>
                  <w:r w:rsidRPr="00580B84">
                    <w:rPr>
                      <w:rFonts w:ascii="Times New Roman" w:eastAsia="Times New Roman" w:hAnsi="Times New Roman" w:cs="Times New Roman"/>
                      <w:sz w:val="24"/>
                      <w:szCs w:val="24"/>
                      <w:lang w:eastAsia="tr-TR"/>
                    </w:rPr>
                    <w:br/>
                    <w:t>40.000</w:t>
                  </w:r>
                  <w:r w:rsidRPr="00580B84">
                    <w:rPr>
                      <w:rFonts w:ascii="Times New Roman" w:eastAsia="Times New Roman" w:hAnsi="Times New Roman" w:cs="Times New Roman"/>
                      <w:sz w:val="24"/>
                      <w:szCs w:val="24"/>
                      <w:lang w:eastAsia="tr-TR"/>
                    </w:rPr>
                    <w:br/>
                    <w:t>12.000</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135.000</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255 demirbaşlar hesabı"/>
            </w:tblPr>
            <w:tblGrid>
              <w:gridCol w:w="736"/>
              <w:gridCol w:w="1367"/>
              <w:gridCol w:w="1367"/>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255 DEMİRBAŞLAR HESABI</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35.000</w:t>
                  </w:r>
                  <w:r w:rsidRPr="00580B84">
                    <w:rPr>
                      <w:rFonts w:ascii="Times New Roman" w:eastAsia="Times New Roman" w:hAnsi="Times New Roman" w:cs="Times New Roman"/>
                      <w:sz w:val="24"/>
                      <w:szCs w:val="24"/>
                      <w:lang w:eastAsia="tr-TR"/>
                    </w:rPr>
                    <w:br/>
                    <w:t>40.000</w:t>
                  </w:r>
                  <w:r w:rsidRPr="00580B84">
                    <w:rPr>
                      <w:rFonts w:ascii="Times New Roman" w:eastAsia="Times New Roman" w:hAnsi="Times New Roman" w:cs="Times New Roman"/>
                      <w:sz w:val="24"/>
                      <w:szCs w:val="24"/>
                      <w:lang w:eastAsia="tr-TR"/>
                    </w:rPr>
                    <w:br/>
                    <w:t>10.000</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40.000</w:t>
                  </w:r>
                  <w:r w:rsidRPr="00580B84">
                    <w:rPr>
                      <w:rFonts w:ascii="Times New Roman" w:eastAsia="Times New Roman" w:hAnsi="Times New Roman" w:cs="Times New Roman"/>
                      <w:sz w:val="24"/>
                      <w:szCs w:val="24"/>
                      <w:lang w:eastAsia="tr-TR"/>
                    </w:rPr>
                    <w:br/>
                    <w:t>15.000</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85.000</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55.000</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321 borç senetleri hesabı"/>
            </w:tblPr>
            <w:tblGrid>
              <w:gridCol w:w="736"/>
              <w:gridCol w:w="1367"/>
              <w:gridCol w:w="1367"/>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321 BORÇ SENETLERİ HESABI</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49.000</w:t>
                  </w:r>
                  <w:r w:rsidRPr="00580B84">
                    <w:rPr>
                      <w:rFonts w:ascii="Times New Roman" w:eastAsia="Times New Roman" w:hAnsi="Times New Roman" w:cs="Times New Roman"/>
                      <w:sz w:val="24"/>
                      <w:szCs w:val="24"/>
                      <w:lang w:eastAsia="tr-TR"/>
                    </w:rPr>
                    <w:br/>
                    <w:t>30.000</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79.000</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bl>
            <w:tblPr>
              <w:tblW w:w="45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421 borç senetleri hesabı"/>
            </w:tblPr>
            <w:tblGrid>
              <w:gridCol w:w="736"/>
              <w:gridCol w:w="1367"/>
              <w:gridCol w:w="1367"/>
              <w:gridCol w:w="1030"/>
            </w:tblGrid>
            <w:tr w:rsidR="002D5EF8" w:rsidRPr="00580B84">
              <w:trPr>
                <w:trHeight w:val="255"/>
                <w:tblCellSpacing w:w="0" w:type="dxa"/>
                <w:jc w:val="center"/>
              </w:trPr>
              <w:tc>
                <w:tcPr>
                  <w:tcW w:w="735"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BORÇ</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421 BORÇ SENETLERİ HESABI</w:t>
                  </w:r>
                </w:p>
              </w:tc>
              <w:tc>
                <w:tcPr>
                  <w:tcW w:w="7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ALACAK</w:t>
                  </w:r>
                </w:p>
              </w:tc>
            </w:tr>
            <w:tr w:rsidR="002D5EF8" w:rsidRPr="00580B84">
              <w:trPr>
                <w:trHeight w:val="1440"/>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10.000</w:t>
                  </w:r>
                  <w:r w:rsidRPr="00580B84">
                    <w:rPr>
                      <w:rFonts w:ascii="Times New Roman" w:eastAsia="Times New Roman" w:hAnsi="Times New Roman" w:cs="Times New Roman"/>
                      <w:sz w:val="24"/>
                      <w:szCs w:val="24"/>
                      <w:lang w:eastAsia="tr-TR"/>
                    </w:rPr>
                    <w:br/>
                    <w:t>20.000</w:t>
                  </w:r>
                </w:p>
              </w:tc>
              <w:tc>
                <w:tcPr>
                  <w:tcW w:w="0" w:type="auto"/>
                  <w:gridSpan w:val="2"/>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25.000 </w:t>
                  </w:r>
                  <w:r w:rsidRPr="00580B84">
                    <w:rPr>
                      <w:rFonts w:ascii="Times New Roman" w:eastAsia="Times New Roman" w:hAnsi="Times New Roman" w:cs="Times New Roman"/>
                      <w:sz w:val="24"/>
                      <w:szCs w:val="24"/>
                      <w:lang w:eastAsia="tr-TR"/>
                    </w:rPr>
                    <w:br/>
                    <w:t>12.000</w:t>
                  </w:r>
                </w:p>
              </w:tc>
            </w:tr>
            <w:tr w:rsidR="002D5EF8" w:rsidRPr="00580B84">
              <w:trPr>
                <w:tblCellSpacing w:w="0" w:type="dxa"/>
                <w:jc w:val="center"/>
              </w:trPr>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30.000</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37.000</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c>
      </w:tr>
      <w:tr w:rsidR="00551072" w:rsidRPr="00580B84" w:rsidTr="00580B84">
        <w:trPr>
          <w:tblCellSpacing w:w="0" w:type="dxa"/>
          <w:jc w:val="center"/>
        </w:trPr>
        <w:tc>
          <w:tcPr>
            <w:tcW w:w="5514" w:type="dxa"/>
          </w:tcPr>
          <w:p w:rsidR="00551072" w:rsidRPr="00580B84" w:rsidRDefault="00551072" w:rsidP="002D5EF8">
            <w:pPr>
              <w:spacing w:after="0" w:line="240" w:lineRule="auto"/>
              <w:rPr>
                <w:rFonts w:ascii="Times New Roman" w:eastAsia="Times New Roman" w:hAnsi="Times New Roman" w:cs="Times New Roman"/>
                <w:sz w:val="24"/>
                <w:szCs w:val="24"/>
                <w:lang w:eastAsia="tr-TR"/>
              </w:rPr>
            </w:pPr>
          </w:p>
        </w:tc>
        <w:tc>
          <w:tcPr>
            <w:tcW w:w="5511" w:type="dxa"/>
          </w:tcPr>
          <w:p w:rsidR="00551072" w:rsidRPr="00580B84" w:rsidRDefault="00551072" w:rsidP="002D5EF8">
            <w:pPr>
              <w:spacing w:after="0" w:line="240" w:lineRule="auto"/>
              <w:rPr>
                <w:rFonts w:ascii="Times New Roman" w:eastAsia="Times New Roman" w:hAnsi="Times New Roman" w:cs="Times New Roman"/>
                <w:sz w:val="24"/>
                <w:szCs w:val="24"/>
                <w:lang w:eastAsia="tr-TR"/>
              </w:rPr>
            </w:pPr>
          </w:p>
        </w:tc>
      </w:tr>
      <w:tr w:rsidR="002D5EF8" w:rsidRPr="00580B84" w:rsidTr="002D5EF8">
        <w:trPr>
          <w:tblCellSpacing w:w="0" w:type="dxa"/>
          <w:jc w:val="center"/>
        </w:trPr>
        <w:tc>
          <w:tcPr>
            <w:tcW w:w="0" w:type="auto"/>
            <w:gridSpan w:val="2"/>
            <w:hideMark/>
          </w:tcPr>
          <w:p w:rsidR="002D5EF8" w:rsidRPr="00580B84" w:rsidRDefault="002D5EF8" w:rsidP="002D5EF8">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80B84">
              <w:rPr>
                <w:rFonts w:ascii="Times New Roman" w:eastAsia="Times New Roman" w:hAnsi="Times New Roman" w:cs="Times New Roman"/>
                <w:color w:val="000000"/>
                <w:sz w:val="24"/>
                <w:szCs w:val="24"/>
                <w:lang w:eastAsia="tr-TR"/>
              </w:rPr>
              <w:t> </w:t>
            </w:r>
          </w:p>
          <w:p w:rsidR="002D5EF8" w:rsidRPr="00580B84" w:rsidRDefault="002D5EF8" w:rsidP="002D5EF8">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580B84">
              <w:rPr>
                <w:rFonts w:ascii="Times New Roman" w:eastAsia="Times New Roman" w:hAnsi="Times New Roman" w:cs="Times New Roman"/>
                <w:color w:val="000000"/>
                <w:sz w:val="24"/>
                <w:szCs w:val="24"/>
                <w:lang w:eastAsia="tr-TR"/>
              </w:rPr>
              <w:t>Mizan düzenlenirken ilk önce büyük defter hesaplarının toplamları alınır. Toplamları alınan hesaplar mizanın tutar kısmına aktarılır. Hesapların borç toplamları borç sütununa, alacak toplamaları alacak sütununa aktarılır. Daha sonra bakiyeleri kalan kısmına yazılır. Hangi taraf daha fazla ise yani ne taraf bakiye veriyorsa kalan kısmında ilgili yere kaydedilir.</w:t>
            </w:r>
          </w:p>
          <w:tbl>
            <w:tblPr>
              <w:tblW w:w="900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Caption w:val="Mizan"/>
            </w:tblPr>
            <w:tblGrid>
              <w:gridCol w:w="615"/>
              <w:gridCol w:w="2857"/>
              <w:gridCol w:w="1382"/>
              <w:gridCol w:w="1382"/>
              <w:gridCol w:w="1382"/>
              <w:gridCol w:w="1382"/>
            </w:tblGrid>
            <w:tr w:rsidR="002D5EF8" w:rsidRPr="00580B84">
              <w:trPr>
                <w:trHeight w:val="330"/>
                <w:tblCellSpacing w:w="0" w:type="dxa"/>
                <w:jc w:val="center"/>
              </w:trPr>
              <w:tc>
                <w:tcPr>
                  <w:tcW w:w="600" w:type="dxa"/>
                  <w:vMerge w:val="restart"/>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Sıra</w:t>
                  </w:r>
                  <w:r w:rsidRPr="00580B84">
                    <w:rPr>
                      <w:rFonts w:ascii="Times New Roman" w:eastAsia="Times New Roman" w:hAnsi="Times New Roman" w:cs="Times New Roman"/>
                      <w:sz w:val="24"/>
                      <w:szCs w:val="24"/>
                      <w:lang w:eastAsia="tr-TR"/>
                    </w:rPr>
                    <w:br/>
                    <w:t>No</w:t>
                  </w:r>
                </w:p>
              </w:tc>
              <w:tc>
                <w:tcPr>
                  <w:tcW w:w="2790" w:type="dxa"/>
                  <w:vMerge w:val="restart"/>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HESAP İSMİ</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TUTAR</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KALAN</w:t>
                  </w:r>
                </w:p>
              </w:tc>
            </w:tr>
            <w:tr w:rsidR="002D5EF8" w:rsidRPr="00580B84">
              <w:trPr>
                <w:trHeight w:val="345"/>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p>
              </w:tc>
              <w:tc>
                <w:tcPr>
                  <w:tcW w:w="13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BORÇ</w:t>
                  </w:r>
                </w:p>
              </w:tc>
              <w:tc>
                <w:tcPr>
                  <w:tcW w:w="13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ALACAK</w:t>
                  </w:r>
                </w:p>
              </w:tc>
              <w:tc>
                <w:tcPr>
                  <w:tcW w:w="13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BORÇ</w:t>
                  </w:r>
                </w:p>
              </w:tc>
              <w:tc>
                <w:tcPr>
                  <w:tcW w:w="1350" w:type="dxa"/>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ALACAK</w:t>
                  </w:r>
                </w:p>
              </w:tc>
            </w:tr>
            <w:tr w:rsidR="002D5EF8" w:rsidRPr="00580B84">
              <w:trPr>
                <w:trHeight w:val="2595"/>
                <w:tblCellSpacing w:w="0" w:type="dxa"/>
                <w:jc w:val="center"/>
              </w:trPr>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24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w:t>
                  </w:r>
                  <w:r w:rsidRPr="00580B84">
                    <w:rPr>
                      <w:rFonts w:ascii="Times New Roman" w:eastAsia="Times New Roman" w:hAnsi="Times New Roman" w:cs="Times New Roman"/>
                      <w:sz w:val="24"/>
                      <w:szCs w:val="24"/>
                      <w:lang w:eastAsia="tr-TR"/>
                    </w:rPr>
                    <w:br/>
                    <w:t>2</w:t>
                  </w:r>
                  <w:r w:rsidRPr="00580B84">
                    <w:rPr>
                      <w:rFonts w:ascii="Times New Roman" w:eastAsia="Times New Roman" w:hAnsi="Times New Roman" w:cs="Times New Roman"/>
                      <w:sz w:val="24"/>
                      <w:szCs w:val="24"/>
                      <w:lang w:eastAsia="tr-TR"/>
                    </w:rPr>
                    <w:br/>
                    <w:t>3</w:t>
                  </w:r>
                  <w:r w:rsidRPr="00580B84">
                    <w:rPr>
                      <w:rFonts w:ascii="Times New Roman" w:eastAsia="Times New Roman" w:hAnsi="Times New Roman" w:cs="Times New Roman"/>
                      <w:sz w:val="24"/>
                      <w:szCs w:val="24"/>
                      <w:lang w:eastAsia="tr-TR"/>
                    </w:rPr>
                    <w:br/>
                    <w:t>4</w:t>
                  </w:r>
                  <w:r w:rsidRPr="00580B84">
                    <w:rPr>
                      <w:rFonts w:ascii="Times New Roman" w:eastAsia="Times New Roman" w:hAnsi="Times New Roman" w:cs="Times New Roman"/>
                      <w:sz w:val="24"/>
                      <w:szCs w:val="24"/>
                      <w:lang w:eastAsia="tr-TR"/>
                    </w:rPr>
                    <w:br/>
                    <w:t>5</w:t>
                  </w:r>
                  <w:r w:rsidRPr="00580B84">
                    <w:rPr>
                      <w:rFonts w:ascii="Times New Roman" w:eastAsia="Times New Roman" w:hAnsi="Times New Roman" w:cs="Times New Roman"/>
                      <w:sz w:val="24"/>
                      <w:szCs w:val="24"/>
                      <w:lang w:eastAsia="tr-TR"/>
                    </w:rPr>
                    <w:br/>
                    <w:t>6</w:t>
                  </w:r>
                  <w:r w:rsidRPr="00580B84">
                    <w:rPr>
                      <w:rFonts w:ascii="Times New Roman" w:eastAsia="Times New Roman" w:hAnsi="Times New Roman" w:cs="Times New Roman"/>
                      <w:sz w:val="24"/>
                      <w:szCs w:val="24"/>
                      <w:lang w:eastAsia="tr-TR"/>
                    </w:rPr>
                    <w:br/>
                    <w:t>7</w:t>
                  </w:r>
                  <w:r w:rsidRPr="00580B84">
                    <w:rPr>
                      <w:rFonts w:ascii="Times New Roman" w:eastAsia="Times New Roman" w:hAnsi="Times New Roman" w:cs="Times New Roman"/>
                      <w:sz w:val="24"/>
                      <w:szCs w:val="24"/>
                      <w:lang w:eastAsia="tr-TR"/>
                    </w:rPr>
                    <w:br/>
                    <w:t>8</w:t>
                  </w:r>
                  <w:r w:rsidRPr="00580B84">
                    <w:rPr>
                      <w:rFonts w:ascii="Times New Roman" w:eastAsia="Times New Roman" w:hAnsi="Times New Roman" w:cs="Times New Roman"/>
                      <w:sz w:val="24"/>
                      <w:szCs w:val="24"/>
                      <w:lang w:eastAsia="tr-TR"/>
                    </w:rPr>
                    <w:br/>
                    <w:t>9</w:t>
                  </w:r>
                  <w:r w:rsidRPr="00580B84">
                    <w:rPr>
                      <w:rFonts w:ascii="Times New Roman" w:eastAsia="Times New Roman" w:hAnsi="Times New Roman" w:cs="Times New Roman"/>
                      <w:sz w:val="24"/>
                      <w:szCs w:val="24"/>
                      <w:lang w:eastAsia="tr-TR"/>
                    </w:rPr>
                    <w:br/>
                    <w:t>10</w:t>
                  </w:r>
                  <w:r w:rsidRPr="00580B84">
                    <w:rPr>
                      <w:rFonts w:ascii="Times New Roman" w:eastAsia="Times New Roman" w:hAnsi="Times New Roman" w:cs="Times New Roman"/>
                      <w:sz w:val="24"/>
                      <w:szCs w:val="24"/>
                      <w:lang w:eastAsia="tr-TR"/>
                    </w:rPr>
                    <w:br/>
                    <w:t>11</w:t>
                  </w: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100 Kasa Hesabı</w:t>
                  </w:r>
                  <w:r w:rsidRPr="00580B84">
                    <w:rPr>
                      <w:rFonts w:ascii="Times New Roman" w:eastAsia="Times New Roman" w:hAnsi="Times New Roman" w:cs="Times New Roman"/>
                      <w:sz w:val="24"/>
                      <w:szCs w:val="24"/>
                      <w:lang w:eastAsia="tr-TR"/>
                    </w:rPr>
                    <w:br/>
                    <w:t>102 Bankalar Hesabı</w:t>
                  </w:r>
                  <w:r w:rsidRPr="00580B84">
                    <w:rPr>
                      <w:rFonts w:ascii="Times New Roman" w:eastAsia="Times New Roman" w:hAnsi="Times New Roman" w:cs="Times New Roman"/>
                      <w:sz w:val="24"/>
                      <w:szCs w:val="24"/>
                      <w:lang w:eastAsia="tr-TR"/>
                    </w:rPr>
                    <w:br/>
                    <w:t>121 Alacak Senetleri Hesabı</w:t>
                  </w:r>
                  <w:r w:rsidRPr="00580B84">
                    <w:rPr>
                      <w:rFonts w:ascii="Times New Roman" w:eastAsia="Times New Roman" w:hAnsi="Times New Roman" w:cs="Times New Roman"/>
                      <w:sz w:val="24"/>
                      <w:szCs w:val="24"/>
                      <w:lang w:eastAsia="tr-TR"/>
                    </w:rPr>
                    <w:br/>
                    <w:t>153 Ticari Mallar Hesabı</w:t>
                  </w:r>
                  <w:r w:rsidRPr="00580B84">
                    <w:rPr>
                      <w:rFonts w:ascii="Times New Roman" w:eastAsia="Times New Roman" w:hAnsi="Times New Roman" w:cs="Times New Roman"/>
                      <w:sz w:val="24"/>
                      <w:szCs w:val="24"/>
                      <w:lang w:eastAsia="tr-TR"/>
                    </w:rPr>
                    <w:br/>
                    <w:t>252 Binalar Hesabı</w:t>
                  </w:r>
                  <w:r w:rsidRPr="00580B84">
                    <w:rPr>
                      <w:rFonts w:ascii="Times New Roman" w:eastAsia="Times New Roman" w:hAnsi="Times New Roman" w:cs="Times New Roman"/>
                      <w:sz w:val="24"/>
                      <w:szCs w:val="24"/>
                      <w:lang w:eastAsia="tr-TR"/>
                    </w:rPr>
                    <w:br/>
                    <w:t>255 Demirbaşlar Hesabı</w:t>
                  </w:r>
                  <w:r w:rsidRPr="00580B84">
                    <w:rPr>
                      <w:rFonts w:ascii="Times New Roman" w:eastAsia="Times New Roman" w:hAnsi="Times New Roman" w:cs="Times New Roman"/>
                      <w:sz w:val="24"/>
                      <w:szCs w:val="24"/>
                      <w:lang w:eastAsia="tr-TR"/>
                    </w:rPr>
                    <w:br/>
                    <w:t>320 Satıcılar Hesabı</w:t>
                  </w:r>
                  <w:r w:rsidRPr="00580B84">
                    <w:rPr>
                      <w:rFonts w:ascii="Times New Roman" w:eastAsia="Times New Roman" w:hAnsi="Times New Roman" w:cs="Times New Roman"/>
                      <w:sz w:val="24"/>
                      <w:szCs w:val="24"/>
                      <w:lang w:eastAsia="tr-TR"/>
                    </w:rPr>
                    <w:br/>
                    <w:t>321 Borç Senetleri Hesabı</w:t>
                  </w:r>
                  <w:r w:rsidRPr="00580B84">
                    <w:rPr>
                      <w:rFonts w:ascii="Times New Roman" w:eastAsia="Times New Roman" w:hAnsi="Times New Roman" w:cs="Times New Roman"/>
                      <w:sz w:val="24"/>
                      <w:szCs w:val="24"/>
                      <w:lang w:eastAsia="tr-TR"/>
                    </w:rPr>
                    <w:br/>
                    <w:t>400 Banka Kredileri Hesabı</w:t>
                  </w:r>
                  <w:r w:rsidRPr="00580B84">
                    <w:rPr>
                      <w:rFonts w:ascii="Times New Roman" w:eastAsia="Times New Roman" w:hAnsi="Times New Roman" w:cs="Times New Roman"/>
                      <w:sz w:val="24"/>
                      <w:szCs w:val="24"/>
                      <w:lang w:eastAsia="tr-TR"/>
                    </w:rPr>
                    <w:br/>
                    <w:t>421 Borç Senetleri Hesabı</w:t>
                  </w:r>
                  <w:r w:rsidRPr="00580B84">
                    <w:rPr>
                      <w:rFonts w:ascii="Times New Roman" w:eastAsia="Times New Roman" w:hAnsi="Times New Roman" w:cs="Times New Roman"/>
                      <w:sz w:val="24"/>
                      <w:szCs w:val="24"/>
                      <w:lang w:eastAsia="tr-TR"/>
                    </w:rPr>
                    <w:br/>
                    <w:t>500 Sermaye Hesabı</w:t>
                  </w: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66.000</w:t>
                  </w:r>
                  <w:r w:rsidRPr="00580B84">
                    <w:rPr>
                      <w:rFonts w:ascii="Times New Roman" w:eastAsia="Times New Roman" w:hAnsi="Times New Roman" w:cs="Times New Roman"/>
                      <w:sz w:val="24"/>
                      <w:szCs w:val="24"/>
                      <w:lang w:eastAsia="tr-TR"/>
                    </w:rPr>
                    <w:br/>
                    <w:t>57.000</w:t>
                  </w:r>
                  <w:r w:rsidRPr="00580B84">
                    <w:rPr>
                      <w:rFonts w:ascii="Times New Roman" w:eastAsia="Times New Roman" w:hAnsi="Times New Roman" w:cs="Times New Roman"/>
                      <w:sz w:val="24"/>
                      <w:szCs w:val="24"/>
                      <w:lang w:eastAsia="tr-TR"/>
                    </w:rPr>
                    <w:br/>
                    <w:t>47.000</w:t>
                  </w:r>
                  <w:r w:rsidRPr="00580B84">
                    <w:rPr>
                      <w:rFonts w:ascii="Times New Roman" w:eastAsia="Times New Roman" w:hAnsi="Times New Roman" w:cs="Times New Roman"/>
                      <w:sz w:val="24"/>
                      <w:szCs w:val="24"/>
                      <w:lang w:eastAsia="tr-TR"/>
                    </w:rPr>
                    <w:br/>
                    <w:t>135.000</w:t>
                  </w:r>
                  <w:r w:rsidRPr="00580B84">
                    <w:rPr>
                      <w:rFonts w:ascii="Times New Roman" w:eastAsia="Times New Roman" w:hAnsi="Times New Roman" w:cs="Times New Roman"/>
                      <w:sz w:val="24"/>
                      <w:szCs w:val="24"/>
                      <w:lang w:eastAsia="tr-TR"/>
                    </w:rPr>
                    <w:br/>
                    <w:t>210.000</w:t>
                  </w:r>
                  <w:r w:rsidRPr="00580B84">
                    <w:rPr>
                      <w:rFonts w:ascii="Times New Roman" w:eastAsia="Times New Roman" w:hAnsi="Times New Roman" w:cs="Times New Roman"/>
                      <w:sz w:val="24"/>
                      <w:szCs w:val="24"/>
                      <w:lang w:eastAsia="tr-TR"/>
                    </w:rPr>
                    <w:br/>
                    <w:t>85.000</w:t>
                  </w:r>
                  <w:r w:rsidRPr="00580B84">
                    <w:rPr>
                      <w:rFonts w:ascii="Times New Roman" w:eastAsia="Times New Roman" w:hAnsi="Times New Roman" w:cs="Times New Roman"/>
                      <w:sz w:val="24"/>
                      <w:szCs w:val="24"/>
                      <w:lang w:eastAsia="tr-TR"/>
                    </w:rPr>
                    <w:br/>
                    <w:t>40.000</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30.000</w:t>
                  </w:r>
                  <w:r w:rsidRPr="00580B84">
                    <w:rPr>
                      <w:rFonts w:ascii="Times New Roman" w:eastAsia="Times New Roman" w:hAnsi="Times New Roman" w:cs="Times New Roman"/>
                      <w:sz w:val="24"/>
                      <w:szCs w:val="24"/>
                      <w:lang w:eastAsia="tr-TR"/>
                    </w:rPr>
                    <w:br/>
                    <w:t>-</w:t>
                  </w: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37.000</w:t>
                  </w:r>
                  <w:r w:rsidRPr="00580B84">
                    <w:rPr>
                      <w:rFonts w:ascii="Times New Roman" w:eastAsia="Times New Roman" w:hAnsi="Times New Roman" w:cs="Times New Roman"/>
                      <w:sz w:val="24"/>
                      <w:szCs w:val="24"/>
                      <w:lang w:eastAsia="tr-TR"/>
                    </w:rPr>
                    <w:br/>
                    <w:t>10.000</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55.000</w:t>
                  </w:r>
                  <w:r w:rsidRPr="00580B84">
                    <w:rPr>
                      <w:rFonts w:ascii="Times New Roman" w:eastAsia="Times New Roman" w:hAnsi="Times New Roman" w:cs="Times New Roman"/>
                      <w:sz w:val="24"/>
                      <w:szCs w:val="24"/>
                      <w:lang w:eastAsia="tr-TR"/>
                    </w:rPr>
                    <w:br/>
                    <w:t>115.000</w:t>
                  </w:r>
                  <w:r w:rsidRPr="00580B84">
                    <w:rPr>
                      <w:rFonts w:ascii="Times New Roman" w:eastAsia="Times New Roman" w:hAnsi="Times New Roman" w:cs="Times New Roman"/>
                      <w:sz w:val="24"/>
                      <w:szCs w:val="24"/>
                      <w:lang w:eastAsia="tr-TR"/>
                    </w:rPr>
                    <w:br/>
                    <w:t>79.000</w:t>
                  </w:r>
                  <w:r w:rsidRPr="00580B84">
                    <w:rPr>
                      <w:rFonts w:ascii="Times New Roman" w:eastAsia="Times New Roman" w:hAnsi="Times New Roman" w:cs="Times New Roman"/>
                      <w:sz w:val="24"/>
                      <w:szCs w:val="24"/>
                      <w:lang w:eastAsia="tr-TR"/>
                    </w:rPr>
                    <w:br/>
                    <w:t>108.000</w:t>
                  </w:r>
                  <w:r w:rsidRPr="00580B84">
                    <w:rPr>
                      <w:rFonts w:ascii="Times New Roman" w:eastAsia="Times New Roman" w:hAnsi="Times New Roman" w:cs="Times New Roman"/>
                      <w:sz w:val="24"/>
                      <w:szCs w:val="24"/>
                      <w:lang w:eastAsia="tr-TR"/>
                    </w:rPr>
                    <w:br/>
                    <w:t>37.000</w:t>
                  </w:r>
                  <w:r w:rsidRPr="00580B84">
                    <w:rPr>
                      <w:rFonts w:ascii="Times New Roman" w:eastAsia="Times New Roman" w:hAnsi="Times New Roman" w:cs="Times New Roman"/>
                      <w:sz w:val="24"/>
                      <w:szCs w:val="24"/>
                      <w:lang w:eastAsia="tr-TR"/>
                    </w:rPr>
                    <w:br/>
                    <w:t>229.000</w:t>
                  </w: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29.000</w:t>
                  </w:r>
                  <w:r w:rsidRPr="00580B84">
                    <w:rPr>
                      <w:rFonts w:ascii="Times New Roman" w:eastAsia="Times New Roman" w:hAnsi="Times New Roman" w:cs="Times New Roman"/>
                      <w:sz w:val="24"/>
                      <w:szCs w:val="24"/>
                      <w:lang w:eastAsia="tr-TR"/>
                    </w:rPr>
                    <w:br/>
                    <w:t>47.000</w:t>
                  </w:r>
                  <w:r w:rsidRPr="00580B84">
                    <w:rPr>
                      <w:rFonts w:ascii="Times New Roman" w:eastAsia="Times New Roman" w:hAnsi="Times New Roman" w:cs="Times New Roman"/>
                      <w:sz w:val="24"/>
                      <w:szCs w:val="24"/>
                      <w:lang w:eastAsia="tr-TR"/>
                    </w:rPr>
                    <w:br/>
                    <w:t>47.000</w:t>
                  </w:r>
                  <w:r w:rsidRPr="00580B84">
                    <w:rPr>
                      <w:rFonts w:ascii="Times New Roman" w:eastAsia="Times New Roman" w:hAnsi="Times New Roman" w:cs="Times New Roman"/>
                      <w:sz w:val="24"/>
                      <w:szCs w:val="24"/>
                      <w:lang w:eastAsia="tr-TR"/>
                    </w:rPr>
                    <w:br/>
                    <w:t>135.000</w:t>
                  </w:r>
                  <w:r w:rsidRPr="00580B84">
                    <w:rPr>
                      <w:rFonts w:ascii="Times New Roman" w:eastAsia="Times New Roman" w:hAnsi="Times New Roman" w:cs="Times New Roman"/>
                      <w:sz w:val="24"/>
                      <w:szCs w:val="24"/>
                      <w:lang w:eastAsia="tr-TR"/>
                    </w:rPr>
                    <w:br/>
                    <w:t>210.000</w:t>
                  </w:r>
                  <w:r w:rsidRPr="00580B84">
                    <w:rPr>
                      <w:rFonts w:ascii="Times New Roman" w:eastAsia="Times New Roman" w:hAnsi="Times New Roman" w:cs="Times New Roman"/>
                      <w:sz w:val="24"/>
                      <w:szCs w:val="24"/>
                      <w:lang w:eastAsia="tr-TR"/>
                    </w:rPr>
                    <w:br/>
                    <w:t>30.000</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p>
              </w:tc>
              <w:tc>
                <w:tcPr>
                  <w:tcW w:w="0" w:type="auto"/>
                  <w:tcBorders>
                    <w:top w:val="outset" w:sz="6" w:space="0" w:color="999999"/>
                    <w:left w:val="outset" w:sz="6" w:space="0" w:color="999999"/>
                    <w:bottom w:val="outset" w:sz="6" w:space="0" w:color="999999"/>
                    <w:right w:val="outset" w:sz="6" w:space="0" w:color="999999"/>
                  </w:tcBorders>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w:t>
                  </w:r>
                  <w:r w:rsidRPr="00580B84">
                    <w:rPr>
                      <w:rFonts w:ascii="Times New Roman" w:eastAsia="Times New Roman" w:hAnsi="Times New Roman" w:cs="Times New Roman"/>
                      <w:sz w:val="24"/>
                      <w:szCs w:val="24"/>
                      <w:lang w:eastAsia="tr-TR"/>
                    </w:rPr>
                    <w:br/>
                    <w:t>75.000</w:t>
                  </w:r>
                  <w:r w:rsidRPr="00580B84">
                    <w:rPr>
                      <w:rFonts w:ascii="Times New Roman" w:eastAsia="Times New Roman" w:hAnsi="Times New Roman" w:cs="Times New Roman"/>
                      <w:sz w:val="24"/>
                      <w:szCs w:val="24"/>
                      <w:lang w:eastAsia="tr-TR"/>
                    </w:rPr>
                    <w:br/>
                    <w:t>79.000</w:t>
                  </w:r>
                  <w:r w:rsidRPr="00580B84">
                    <w:rPr>
                      <w:rFonts w:ascii="Times New Roman" w:eastAsia="Times New Roman" w:hAnsi="Times New Roman" w:cs="Times New Roman"/>
                      <w:sz w:val="24"/>
                      <w:szCs w:val="24"/>
                      <w:lang w:eastAsia="tr-TR"/>
                    </w:rPr>
                    <w:br/>
                    <w:t>108.000</w:t>
                  </w:r>
                  <w:r w:rsidRPr="00580B84">
                    <w:rPr>
                      <w:rFonts w:ascii="Times New Roman" w:eastAsia="Times New Roman" w:hAnsi="Times New Roman" w:cs="Times New Roman"/>
                      <w:sz w:val="24"/>
                      <w:szCs w:val="24"/>
                      <w:lang w:eastAsia="tr-TR"/>
                    </w:rPr>
                    <w:br/>
                    <w:t>7.000</w:t>
                  </w:r>
                  <w:r w:rsidRPr="00580B84">
                    <w:rPr>
                      <w:rFonts w:ascii="Times New Roman" w:eastAsia="Times New Roman" w:hAnsi="Times New Roman" w:cs="Times New Roman"/>
                      <w:sz w:val="24"/>
                      <w:szCs w:val="24"/>
                      <w:lang w:eastAsia="tr-TR"/>
                    </w:rPr>
                    <w:br/>
                    <w:t>229.000</w:t>
                  </w:r>
                </w:p>
              </w:tc>
            </w:tr>
            <w:tr w:rsidR="002D5EF8" w:rsidRPr="00580B84">
              <w:trPr>
                <w:trHeight w:val="375"/>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rPr>
                      <w:rFonts w:ascii="Times New Roman" w:eastAsia="Times New Roman" w:hAnsi="Times New Roman" w:cs="Times New Roman"/>
                      <w:sz w:val="24"/>
                      <w:szCs w:val="24"/>
                      <w:lang w:eastAsia="tr-TR"/>
                    </w:rPr>
                  </w:pPr>
                  <w:r w:rsidRPr="00580B84">
                    <w:rPr>
                      <w:rFonts w:ascii="Times New Roman" w:eastAsia="Times New Roman" w:hAnsi="Times New Roman" w:cs="Times New Roman"/>
                      <w:b/>
                      <w:bCs/>
                      <w:sz w:val="24"/>
                      <w:szCs w:val="24"/>
                      <w:lang w:eastAsia="tr-TR"/>
                    </w:rPr>
                    <w:t>TOPLAM</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670.000</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670.000</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498.000</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D5EF8" w:rsidRPr="00580B84" w:rsidRDefault="002D5EF8" w:rsidP="002D5EF8">
                  <w:pPr>
                    <w:spacing w:after="0" w:line="240" w:lineRule="auto"/>
                    <w:jc w:val="center"/>
                    <w:rPr>
                      <w:rFonts w:ascii="Times New Roman" w:eastAsia="Times New Roman" w:hAnsi="Times New Roman" w:cs="Times New Roman"/>
                      <w:sz w:val="24"/>
                      <w:szCs w:val="24"/>
                      <w:lang w:eastAsia="tr-TR"/>
                    </w:rPr>
                  </w:pPr>
                  <w:r w:rsidRPr="00580B84">
                    <w:rPr>
                      <w:rFonts w:ascii="Times New Roman" w:eastAsia="Times New Roman" w:hAnsi="Times New Roman" w:cs="Times New Roman"/>
                      <w:sz w:val="24"/>
                      <w:szCs w:val="24"/>
                      <w:lang w:eastAsia="tr-TR"/>
                    </w:rPr>
                    <w:t>498.000</w:t>
                  </w:r>
                </w:p>
              </w:tc>
            </w:tr>
          </w:tbl>
          <w:p w:rsidR="002D5EF8" w:rsidRPr="00580B84" w:rsidRDefault="002D5EF8" w:rsidP="002D5EF8">
            <w:pPr>
              <w:spacing w:after="0" w:line="240" w:lineRule="auto"/>
              <w:rPr>
                <w:rFonts w:ascii="Times New Roman" w:eastAsia="Times New Roman" w:hAnsi="Times New Roman" w:cs="Times New Roman"/>
                <w:color w:val="000000"/>
                <w:sz w:val="24"/>
                <w:szCs w:val="24"/>
                <w:lang w:eastAsia="tr-TR"/>
              </w:rPr>
            </w:pPr>
          </w:p>
        </w:tc>
      </w:tr>
    </w:tbl>
    <w:p w:rsidR="002D5EF8" w:rsidRPr="00580B84" w:rsidRDefault="002D5EF8">
      <w:pPr>
        <w:rPr>
          <w:rFonts w:ascii="Times New Roman" w:hAnsi="Times New Roman" w:cs="Times New Roman"/>
          <w:sz w:val="24"/>
          <w:szCs w:val="24"/>
        </w:rPr>
      </w:pPr>
    </w:p>
    <w:sectPr w:rsidR="002D5EF8" w:rsidRPr="00580B84" w:rsidSect="00580B84">
      <w:pgSz w:w="11906" w:h="16838"/>
      <w:pgMar w:top="42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F8"/>
    <w:rsid w:val="000C1809"/>
    <w:rsid w:val="002D5EF8"/>
    <w:rsid w:val="004465FF"/>
    <w:rsid w:val="00551072"/>
    <w:rsid w:val="00580B84"/>
    <w:rsid w:val="006842FD"/>
    <w:rsid w:val="00A66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98CCA-4299-4524-A4E3-43EED900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E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D5EF8"/>
    <w:rPr>
      <w:b/>
      <w:bCs/>
    </w:rPr>
  </w:style>
  <w:style w:type="character" w:customStyle="1" w:styleId="accordionpanelcontent">
    <w:name w:val="accordionpanelcontent"/>
    <w:basedOn w:val="DefaultParagraphFont"/>
    <w:rsid w:val="002D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20523">
      <w:bodyDiv w:val="1"/>
      <w:marLeft w:val="0"/>
      <w:marRight w:val="0"/>
      <w:marTop w:val="0"/>
      <w:marBottom w:val="0"/>
      <w:divBdr>
        <w:top w:val="none" w:sz="0" w:space="0" w:color="auto"/>
        <w:left w:val="none" w:sz="0" w:space="0" w:color="auto"/>
        <w:bottom w:val="none" w:sz="0" w:space="0" w:color="auto"/>
        <w:right w:val="none" w:sz="0" w:space="0" w:color="auto"/>
      </w:divBdr>
    </w:div>
    <w:div w:id="905727271">
      <w:bodyDiv w:val="1"/>
      <w:marLeft w:val="0"/>
      <w:marRight w:val="0"/>
      <w:marTop w:val="0"/>
      <w:marBottom w:val="0"/>
      <w:divBdr>
        <w:top w:val="none" w:sz="0" w:space="0" w:color="auto"/>
        <w:left w:val="none" w:sz="0" w:space="0" w:color="auto"/>
        <w:bottom w:val="none" w:sz="0" w:space="0" w:color="auto"/>
        <w:right w:val="none" w:sz="0" w:space="0" w:color="auto"/>
      </w:divBdr>
    </w:div>
    <w:div w:id="10535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Engin Demiral</cp:lastModifiedBy>
  <cp:revision>4</cp:revision>
  <dcterms:created xsi:type="dcterms:W3CDTF">2017-09-10T10:49:00Z</dcterms:created>
  <dcterms:modified xsi:type="dcterms:W3CDTF">2019-09-22T08:04:00Z</dcterms:modified>
</cp:coreProperties>
</file>