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B7" w:rsidRPr="00DF02CB" w:rsidRDefault="00580CB7" w:rsidP="00580CB7">
      <w:pPr>
        <w:pStyle w:val="NormalWeb"/>
        <w:shd w:val="clear" w:color="auto" w:fill="FFFFFF"/>
        <w:rPr>
          <w:color w:val="000000"/>
        </w:rPr>
      </w:pPr>
      <w:r w:rsidRPr="00DF02CB">
        <w:rPr>
          <w:rStyle w:val="Gl"/>
          <w:color w:val="000000"/>
        </w:rPr>
        <w:t>AMORTİSMAN</w:t>
      </w:r>
    </w:p>
    <w:p w:rsidR="00580CB7" w:rsidRPr="00DF02CB" w:rsidRDefault="00580CB7" w:rsidP="00580CB7">
      <w:pPr>
        <w:pStyle w:val="NormalWeb"/>
        <w:shd w:val="clear" w:color="auto" w:fill="FFFFFF"/>
        <w:rPr>
          <w:color w:val="000000"/>
        </w:rPr>
      </w:pPr>
      <w:r w:rsidRPr="00DF02CB">
        <w:rPr>
          <w:rStyle w:val="Gl"/>
          <w:color w:val="000000"/>
        </w:rPr>
        <w:t>Amortisman Tanımı: </w:t>
      </w:r>
      <w:r w:rsidRPr="00DF02CB">
        <w:rPr>
          <w:color w:val="000000"/>
        </w:rPr>
        <w:t>Amortisman, duran varlıkların, aşınma, yıpranma veya eskime payını ifade etmektedir.</w:t>
      </w:r>
    </w:p>
    <w:p w:rsidR="00580CB7" w:rsidRPr="00DF02CB" w:rsidRDefault="00580CB7" w:rsidP="00580CB7">
      <w:pPr>
        <w:pStyle w:val="NormalWeb"/>
        <w:shd w:val="clear" w:color="auto" w:fill="FFFFFF"/>
        <w:rPr>
          <w:color w:val="000000"/>
        </w:rPr>
      </w:pPr>
      <w:r w:rsidRPr="00DF02CB">
        <w:rPr>
          <w:color w:val="000000"/>
        </w:rPr>
        <w:t>İşletmeler kullanmak üzere aldığı maddi duran varlıkları normal şartlarda bir yıldan daha uzun sürelerde kullanırlar. Bu nedenle, maddi duran varlıkların ekonomik ömrü boyunca gider yazılması gerekir. Böyle yapılarak maddi duran varlık kullanıldığı muhasebe dönemlerine dağıtılarak gider yazılmış olur ve muhasebenin dönemsellik kavramı yerine getirilir.</w:t>
      </w:r>
    </w:p>
    <w:p w:rsidR="00580CB7" w:rsidRPr="00DF02CB" w:rsidRDefault="00580CB7" w:rsidP="00580CB7">
      <w:pPr>
        <w:pStyle w:val="NormalWeb"/>
        <w:shd w:val="clear" w:color="auto" w:fill="FFFFFF"/>
        <w:rPr>
          <w:color w:val="000000"/>
        </w:rPr>
      </w:pPr>
      <w:r w:rsidRPr="00DF02CB">
        <w:rPr>
          <w:rStyle w:val="Gl"/>
          <w:color w:val="000000"/>
        </w:rPr>
        <w:t>Amortisman Ayırma Şartları:</w:t>
      </w:r>
    </w:p>
    <w:p w:rsidR="00580CB7" w:rsidRPr="00DF02CB" w:rsidRDefault="00580CB7" w:rsidP="00580CB7">
      <w:pPr>
        <w:pStyle w:val="NormalWeb"/>
        <w:shd w:val="clear" w:color="auto" w:fill="FFFFFF"/>
        <w:rPr>
          <w:color w:val="000000"/>
        </w:rPr>
      </w:pPr>
      <w:r w:rsidRPr="00DF02CB">
        <w:rPr>
          <w:color w:val="000000"/>
        </w:rPr>
        <w:t>- İşletmede bir yıldan fazla kullanılabilir olması</w:t>
      </w:r>
      <w:r w:rsidRPr="00DF02CB">
        <w:rPr>
          <w:color w:val="000000"/>
        </w:rPr>
        <w:br/>
        <w:t>- Yıpranmaya, aşınmaya veya kıymetten düşmeye maruz bulunması</w:t>
      </w:r>
      <w:r w:rsidRPr="00DF02CB">
        <w:rPr>
          <w:color w:val="000000"/>
        </w:rPr>
        <w:br/>
        <w:t>- Değerleme gününde envantere dahil ve kullanıma hazır olması</w:t>
      </w:r>
      <w:r w:rsidRPr="00DF02CB">
        <w:rPr>
          <w:color w:val="000000"/>
        </w:rPr>
        <w:br/>
        <w:t>- İktisadi kıymetin değerinin </w:t>
      </w:r>
      <w:r w:rsidR="00DF02CB">
        <w:rPr>
          <w:rStyle w:val="Gl"/>
          <w:color w:val="000000"/>
        </w:rPr>
        <w:t>1.200</w:t>
      </w:r>
      <w:r w:rsidRPr="00DF02CB">
        <w:rPr>
          <w:rStyle w:val="Gl"/>
          <w:color w:val="000000"/>
        </w:rPr>
        <w:t xml:space="preserve"> TL’yi (201</w:t>
      </w:r>
      <w:r w:rsidR="00DF02CB">
        <w:rPr>
          <w:rStyle w:val="Gl"/>
          <w:color w:val="000000"/>
        </w:rPr>
        <w:t>9</w:t>
      </w:r>
      <w:r w:rsidRPr="00DF02CB">
        <w:rPr>
          <w:rStyle w:val="Gl"/>
          <w:color w:val="000000"/>
        </w:rPr>
        <w:t xml:space="preserve"> yılı için)</w:t>
      </w:r>
      <w:r w:rsidRPr="00DF02CB">
        <w:rPr>
          <w:color w:val="000000"/>
        </w:rPr>
        <w:t> aşması</w:t>
      </w: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VUK’un 315. maddesine göre mükellefler, amortismana tabi iktisadi kıymetler için Maliye Bakanlığınca iktisadi kıymetlerin faydalı ömürleri dikkate alınarak tespit ve ilan edeceği oranlar üzerinden amortisman hesaplayacaklardır.</w:t>
      </w: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Amortisman Tutarının Hesaplanması:</w:t>
      </w:r>
      <w:r w:rsidRPr="00DF02CB">
        <w:rPr>
          <w:rFonts w:ascii="Times New Roman" w:eastAsia="Times New Roman" w:hAnsi="Times New Roman" w:cs="Times New Roman"/>
          <w:color w:val="000000"/>
          <w:sz w:val="24"/>
          <w:szCs w:val="24"/>
          <w:lang w:eastAsia="tr-TR"/>
        </w:rPr>
        <w:t> En çok kullanılan amortisman yöntemleri: normal amortisman yöntemi ve azalan bakiyeler yöntemidir.</w:t>
      </w: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1. Normal amortsiman yöntemi:</w:t>
      </w:r>
      <w:r w:rsidRPr="00DF02CB">
        <w:rPr>
          <w:rFonts w:ascii="Times New Roman" w:eastAsia="Times New Roman" w:hAnsi="Times New Roman" w:cs="Times New Roman"/>
          <w:color w:val="000000"/>
          <w:sz w:val="24"/>
          <w:szCs w:val="24"/>
          <w:lang w:eastAsia="tr-TR"/>
        </w:rPr>
        <w:t> Eşit tutarlı amortsiman yöntemi olarak ifade edilmektedir. Bu yönteme göre amortisman tutarı maddi duran varlığın tutarına sabit bir amortisman oranı uygulanır veya tutarın ekonomik ömüre bölünmesiyle hesaplanabilir.</w:t>
      </w: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Örnek:</w:t>
      </w:r>
      <w:r w:rsidRPr="00DF02CB">
        <w:rPr>
          <w:rFonts w:ascii="Times New Roman" w:eastAsia="Times New Roman" w:hAnsi="Times New Roman" w:cs="Times New Roman"/>
          <w:color w:val="000000"/>
          <w:sz w:val="24"/>
          <w:szCs w:val="24"/>
          <w:lang w:eastAsia="tr-TR"/>
        </w:rPr>
        <w:t> İşletme 10.000 TL değerinde bir demirbaşı almıştır. KDV % 18 hariç. Demirbaşın ekonomik ömrü 5 yıldır. Amortisman hesaplamasını ve muhasebe kaydını yapınız.</w:t>
      </w:r>
    </w:p>
    <w:tbl>
      <w:tblPr>
        <w:tblW w:w="8160" w:type="dxa"/>
        <w:jc w:val="center"/>
        <w:tblCellSpacing w:w="0" w:type="dxa"/>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firstRow="1" w:lastRow="0" w:firstColumn="1" w:lastColumn="0" w:noHBand="0" w:noVBand="1"/>
        <w:tblCaption w:val="Yevmiye maddesi"/>
      </w:tblPr>
      <w:tblGrid>
        <w:gridCol w:w="530"/>
        <w:gridCol w:w="4990"/>
        <w:gridCol w:w="1268"/>
        <w:gridCol w:w="1372"/>
      </w:tblGrid>
      <w:tr w:rsidR="00580CB7" w:rsidRPr="00DF02CB" w:rsidTr="00580CB7">
        <w:trPr>
          <w:trHeight w:val="525"/>
          <w:tblCellSpacing w:w="0" w:type="dxa"/>
          <w:jc w:val="center"/>
        </w:trPr>
        <w:tc>
          <w:tcPr>
            <w:tcW w:w="5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Mad. No</w:t>
            </w:r>
          </w:p>
        </w:tc>
        <w:tc>
          <w:tcPr>
            <w:tcW w:w="45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AÇIKLAMA</w:t>
            </w:r>
          </w:p>
        </w:tc>
        <w:tc>
          <w:tcPr>
            <w:tcW w:w="15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BORÇ</w:t>
            </w:r>
          </w:p>
        </w:tc>
        <w:tc>
          <w:tcPr>
            <w:tcW w:w="15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ALACAK</w:t>
            </w:r>
          </w:p>
        </w:tc>
      </w:tr>
      <w:tr w:rsidR="00580CB7" w:rsidRPr="00DF02CB" w:rsidTr="00580CB7">
        <w:trPr>
          <w:trHeight w:val="900"/>
          <w:tblCellSpacing w:w="0" w:type="dxa"/>
          <w:jc w:val="center"/>
        </w:trPr>
        <w:tc>
          <w:tcPr>
            <w:tcW w:w="525"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1</w:t>
            </w:r>
          </w:p>
        </w:tc>
        <w:tc>
          <w:tcPr>
            <w:tcW w:w="4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....................................Tarih......................................</w:t>
            </w:r>
          </w:p>
          <w:p w:rsidR="00580CB7" w:rsidRPr="00DF02CB" w:rsidRDefault="00580CB7" w:rsidP="00580CB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255 Demirbaşlar Hesabı</w:t>
            </w:r>
            <w:r w:rsidRPr="00DF02CB">
              <w:rPr>
                <w:rFonts w:ascii="Times New Roman" w:eastAsia="Times New Roman" w:hAnsi="Times New Roman" w:cs="Times New Roman"/>
                <w:color w:val="000000"/>
                <w:sz w:val="24"/>
                <w:szCs w:val="24"/>
                <w:lang w:eastAsia="tr-TR"/>
              </w:rPr>
              <w:br/>
              <w:t>191 İndirilecek KDV Hesabı</w:t>
            </w:r>
          </w:p>
          <w:p w:rsidR="00580CB7" w:rsidRPr="00DF02CB" w:rsidRDefault="00580CB7" w:rsidP="00580CB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100 Kasa Hesabı</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Peşin demirbaş alınması</w:t>
            </w:r>
          </w:p>
        </w:tc>
        <w:tc>
          <w:tcPr>
            <w:tcW w:w="1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10.000</w:t>
            </w:r>
            <w:r w:rsidRPr="00DF02CB">
              <w:rPr>
                <w:rFonts w:ascii="Times New Roman" w:eastAsia="Times New Roman" w:hAnsi="Times New Roman" w:cs="Times New Roman"/>
                <w:color w:val="000000"/>
                <w:sz w:val="24"/>
                <w:szCs w:val="24"/>
                <w:lang w:eastAsia="tr-TR"/>
              </w:rPr>
              <w:br/>
              <w:t>1.800</w:t>
            </w:r>
          </w:p>
        </w:tc>
        <w:tc>
          <w:tcPr>
            <w:tcW w:w="1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br/>
              <w:t>11.800</w:t>
            </w:r>
          </w:p>
        </w:tc>
      </w:tr>
    </w:tbl>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Amortisman oranı:</w:t>
      </w:r>
      <w:r w:rsidRPr="00DF02CB">
        <w:rPr>
          <w:rFonts w:ascii="Times New Roman" w:eastAsia="Times New Roman" w:hAnsi="Times New Roman" w:cs="Times New Roman"/>
          <w:color w:val="000000"/>
          <w:sz w:val="24"/>
          <w:szCs w:val="24"/>
          <w:lang w:eastAsia="tr-TR"/>
        </w:rPr>
        <w:t> 1 / Ekonomik Ömür</w:t>
      </w:r>
    </w:p>
    <w:p w:rsidR="00580CB7" w:rsidRPr="00DF02CB" w:rsidRDefault="00580CB7" w:rsidP="00580CB7">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1 / 5 = 0,20 yani % 20 dir.</w:t>
      </w: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10.000 x % 20 = </w:t>
      </w:r>
      <w:r w:rsidRPr="00DF02CB">
        <w:rPr>
          <w:rFonts w:ascii="Times New Roman" w:eastAsia="Times New Roman" w:hAnsi="Times New Roman" w:cs="Times New Roman"/>
          <w:b/>
          <w:bCs/>
          <w:color w:val="000000"/>
          <w:sz w:val="24"/>
          <w:szCs w:val="24"/>
          <w:lang w:eastAsia="tr-TR"/>
        </w:rPr>
        <w:t>2.000 TL</w:t>
      </w:r>
      <w:r w:rsidRPr="00DF02CB">
        <w:rPr>
          <w:rFonts w:ascii="Times New Roman" w:eastAsia="Times New Roman" w:hAnsi="Times New Roman" w:cs="Times New Roman"/>
          <w:color w:val="000000"/>
          <w:sz w:val="24"/>
          <w:szCs w:val="24"/>
          <w:lang w:eastAsia="tr-TR"/>
        </w:rPr>
        <w:t> yıllık amortisman tutarı</w:t>
      </w: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veya;</w:t>
      </w: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lastRenderedPageBreak/>
        <w:t>Amortisman tutarı:</w:t>
      </w:r>
      <w:r w:rsidRPr="00DF02CB">
        <w:rPr>
          <w:rFonts w:ascii="Times New Roman" w:eastAsia="Times New Roman" w:hAnsi="Times New Roman" w:cs="Times New Roman"/>
          <w:color w:val="000000"/>
          <w:sz w:val="24"/>
          <w:szCs w:val="24"/>
          <w:lang w:eastAsia="tr-TR"/>
        </w:rPr>
        <w:t> Tutar / Ekonomik Ömür</w:t>
      </w:r>
    </w:p>
    <w:p w:rsidR="00580CB7" w:rsidRPr="00DF02CB" w:rsidRDefault="00580CB7" w:rsidP="00580CB7">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10.000 / 5 = </w:t>
      </w:r>
      <w:r w:rsidRPr="00DF02CB">
        <w:rPr>
          <w:rFonts w:ascii="Times New Roman" w:eastAsia="Times New Roman" w:hAnsi="Times New Roman" w:cs="Times New Roman"/>
          <w:b/>
          <w:bCs/>
          <w:color w:val="000000"/>
          <w:sz w:val="24"/>
          <w:szCs w:val="24"/>
          <w:lang w:eastAsia="tr-TR"/>
        </w:rPr>
        <w:t>2.000 TL</w:t>
      </w:r>
      <w:r w:rsidRPr="00DF02CB">
        <w:rPr>
          <w:rFonts w:ascii="Times New Roman" w:eastAsia="Times New Roman" w:hAnsi="Times New Roman" w:cs="Times New Roman"/>
          <w:color w:val="000000"/>
          <w:sz w:val="24"/>
          <w:szCs w:val="24"/>
          <w:lang w:eastAsia="tr-TR"/>
        </w:rPr>
        <w:t> yıllık amortisman tutarı</w:t>
      </w:r>
    </w:p>
    <w:p w:rsidR="00580CB7" w:rsidRPr="00DF02CB" w:rsidRDefault="00580CB7" w:rsidP="00580CB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Amortisman Tablosu:</w:t>
      </w:r>
    </w:p>
    <w:tbl>
      <w:tblPr>
        <w:tblW w:w="900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Pr>
      <w:tblGrid>
        <w:gridCol w:w="1176"/>
        <w:gridCol w:w="2608"/>
        <w:gridCol w:w="2608"/>
        <w:gridCol w:w="2608"/>
      </w:tblGrid>
      <w:tr w:rsidR="00580CB7" w:rsidRPr="00DF02CB" w:rsidTr="00580CB7">
        <w:trPr>
          <w:tblCellSpacing w:w="0" w:type="dxa"/>
          <w:jc w:val="center"/>
        </w:trPr>
        <w:tc>
          <w:tcPr>
            <w:tcW w:w="1155" w:type="dxa"/>
            <w:tcBorders>
              <w:top w:val="outset" w:sz="6" w:space="0" w:color="999999"/>
              <w:left w:val="outset" w:sz="6" w:space="0" w:color="999999"/>
              <w:bottom w:val="outset" w:sz="6" w:space="0" w:color="999999"/>
              <w:right w:val="outset" w:sz="6" w:space="0" w:color="999999"/>
            </w:tcBorders>
            <w:vAlign w:val="center"/>
            <w:hideMark/>
          </w:tcPr>
          <w:p w:rsidR="00580CB7" w:rsidRPr="00DF02CB" w:rsidRDefault="00580CB7" w:rsidP="00580CB7">
            <w:pPr>
              <w:spacing w:after="0" w:line="240" w:lineRule="auto"/>
              <w:jc w:val="center"/>
              <w:rPr>
                <w:rFonts w:ascii="Times New Roman" w:eastAsia="Times New Roman" w:hAnsi="Times New Roman" w:cs="Times New Roman"/>
                <w:sz w:val="24"/>
                <w:szCs w:val="24"/>
                <w:lang w:eastAsia="tr-TR"/>
              </w:rPr>
            </w:pPr>
            <w:r w:rsidRPr="00DF02CB">
              <w:rPr>
                <w:rFonts w:ascii="Times New Roman" w:eastAsia="Times New Roman" w:hAnsi="Times New Roman" w:cs="Times New Roman"/>
                <w:sz w:val="24"/>
                <w:szCs w:val="24"/>
                <w:lang w:eastAsia="tr-TR"/>
              </w:rPr>
              <w:t>Yıllar</w:t>
            </w:r>
          </w:p>
        </w:tc>
        <w:tc>
          <w:tcPr>
            <w:tcW w:w="2565" w:type="dxa"/>
            <w:tcBorders>
              <w:top w:val="outset" w:sz="6" w:space="0" w:color="999999"/>
              <w:left w:val="outset" w:sz="6" w:space="0" w:color="999999"/>
              <w:bottom w:val="outset" w:sz="6" w:space="0" w:color="999999"/>
              <w:right w:val="outset" w:sz="6" w:space="0" w:color="999999"/>
            </w:tcBorders>
            <w:vAlign w:val="center"/>
            <w:hideMark/>
          </w:tcPr>
          <w:p w:rsidR="00580CB7" w:rsidRPr="00DF02CB" w:rsidRDefault="00580CB7" w:rsidP="00580CB7">
            <w:pPr>
              <w:spacing w:after="0" w:line="240" w:lineRule="auto"/>
              <w:jc w:val="center"/>
              <w:rPr>
                <w:rFonts w:ascii="Times New Roman" w:eastAsia="Times New Roman" w:hAnsi="Times New Roman" w:cs="Times New Roman"/>
                <w:sz w:val="24"/>
                <w:szCs w:val="24"/>
                <w:lang w:eastAsia="tr-TR"/>
              </w:rPr>
            </w:pPr>
            <w:r w:rsidRPr="00DF02CB">
              <w:rPr>
                <w:rFonts w:ascii="Times New Roman" w:eastAsia="Times New Roman" w:hAnsi="Times New Roman" w:cs="Times New Roman"/>
                <w:sz w:val="24"/>
                <w:szCs w:val="24"/>
                <w:lang w:eastAsia="tr-TR"/>
              </w:rPr>
              <w:t>Yıllık Amortisman Tutarı</w:t>
            </w:r>
          </w:p>
        </w:tc>
        <w:tc>
          <w:tcPr>
            <w:tcW w:w="2565" w:type="dxa"/>
            <w:tcBorders>
              <w:top w:val="outset" w:sz="6" w:space="0" w:color="999999"/>
              <w:left w:val="outset" w:sz="6" w:space="0" w:color="999999"/>
              <w:bottom w:val="outset" w:sz="6" w:space="0" w:color="999999"/>
              <w:right w:val="outset" w:sz="6" w:space="0" w:color="999999"/>
            </w:tcBorders>
            <w:vAlign w:val="center"/>
            <w:hideMark/>
          </w:tcPr>
          <w:p w:rsidR="00580CB7" w:rsidRPr="00DF02CB" w:rsidRDefault="00580CB7" w:rsidP="00580CB7">
            <w:pPr>
              <w:spacing w:after="0" w:line="240" w:lineRule="auto"/>
              <w:jc w:val="center"/>
              <w:rPr>
                <w:rFonts w:ascii="Times New Roman" w:eastAsia="Times New Roman" w:hAnsi="Times New Roman" w:cs="Times New Roman"/>
                <w:sz w:val="24"/>
                <w:szCs w:val="24"/>
                <w:lang w:eastAsia="tr-TR"/>
              </w:rPr>
            </w:pPr>
            <w:r w:rsidRPr="00DF02CB">
              <w:rPr>
                <w:rFonts w:ascii="Times New Roman" w:eastAsia="Times New Roman" w:hAnsi="Times New Roman" w:cs="Times New Roman"/>
                <w:sz w:val="24"/>
                <w:szCs w:val="24"/>
                <w:lang w:eastAsia="tr-TR"/>
              </w:rPr>
              <w:t>Birikmiş Amortisman</w:t>
            </w:r>
          </w:p>
        </w:tc>
        <w:tc>
          <w:tcPr>
            <w:tcW w:w="2565" w:type="dxa"/>
            <w:tcBorders>
              <w:top w:val="outset" w:sz="6" w:space="0" w:color="999999"/>
              <w:left w:val="outset" w:sz="6" w:space="0" w:color="999999"/>
              <w:bottom w:val="outset" w:sz="6" w:space="0" w:color="999999"/>
              <w:right w:val="outset" w:sz="6" w:space="0" w:color="999999"/>
            </w:tcBorders>
            <w:vAlign w:val="center"/>
            <w:hideMark/>
          </w:tcPr>
          <w:p w:rsidR="00580CB7" w:rsidRPr="00DF02CB" w:rsidRDefault="00580CB7" w:rsidP="00580CB7">
            <w:pPr>
              <w:spacing w:after="0" w:line="240" w:lineRule="auto"/>
              <w:jc w:val="center"/>
              <w:rPr>
                <w:rFonts w:ascii="Times New Roman" w:eastAsia="Times New Roman" w:hAnsi="Times New Roman" w:cs="Times New Roman"/>
                <w:sz w:val="24"/>
                <w:szCs w:val="24"/>
                <w:lang w:eastAsia="tr-TR"/>
              </w:rPr>
            </w:pPr>
            <w:r w:rsidRPr="00DF02CB">
              <w:rPr>
                <w:rFonts w:ascii="Times New Roman" w:eastAsia="Times New Roman" w:hAnsi="Times New Roman" w:cs="Times New Roman"/>
                <w:sz w:val="24"/>
                <w:szCs w:val="24"/>
                <w:lang w:eastAsia="tr-TR"/>
              </w:rPr>
              <w:t>Kalan Tutar</w:t>
            </w:r>
          </w:p>
        </w:tc>
      </w:tr>
      <w:tr w:rsidR="00580CB7" w:rsidRPr="00DF02CB" w:rsidTr="00580CB7">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hideMark/>
          </w:tcPr>
          <w:p w:rsidR="00580CB7" w:rsidRPr="00DF02CB" w:rsidRDefault="00580CB7" w:rsidP="00580CB7">
            <w:pPr>
              <w:spacing w:after="0" w:line="240" w:lineRule="auto"/>
              <w:jc w:val="center"/>
              <w:rPr>
                <w:rFonts w:ascii="Times New Roman" w:eastAsia="Times New Roman" w:hAnsi="Times New Roman" w:cs="Times New Roman"/>
                <w:sz w:val="24"/>
                <w:szCs w:val="24"/>
                <w:lang w:eastAsia="tr-TR"/>
              </w:rPr>
            </w:pPr>
            <w:r w:rsidRPr="00DF02CB">
              <w:rPr>
                <w:rFonts w:ascii="Times New Roman" w:eastAsia="Times New Roman" w:hAnsi="Times New Roman" w:cs="Times New Roman"/>
                <w:sz w:val="24"/>
                <w:szCs w:val="24"/>
                <w:lang w:eastAsia="tr-TR"/>
              </w:rPr>
              <w:t>2009</w:t>
            </w:r>
            <w:r w:rsidRPr="00DF02CB">
              <w:rPr>
                <w:rFonts w:ascii="Times New Roman" w:eastAsia="Times New Roman" w:hAnsi="Times New Roman" w:cs="Times New Roman"/>
                <w:sz w:val="24"/>
                <w:szCs w:val="24"/>
                <w:lang w:eastAsia="tr-TR"/>
              </w:rPr>
              <w:br/>
              <w:t>2010</w:t>
            </w:r>
            <w:r w:rsidRPr="00DF02CB">
              <w:rPr>
                <w:rFonts w:ascii="Times New Roman" w:eastAsia="Times New Roman" w:hAnsi="Times New Roman" w:cs="Times New Roman"/>
                <w:sz w:val="24"/>
                <w:szCs w:val="24"/>
                <w:lang w:eastAsia="tr-TR"/>
              </w:rPr>
              <w:br/>
              <w:t>2011</w:t>
            </w:r>
            <w:r w:rsidRPr="00DF02CB">
              <w:rPr>
                <w:rFonts w:ascii="Times New Roman" w:eastAsia="Times New Roman" w:hAnsi="Times New Roman" w:cs="Times New Roman"/>
                <w:sz w:val="24"/>
                <w:szCs w:val="24"/>
                <w:lang w:eastAsia="tr-TR"/>
              </w:rPr>
              <w:br/>
              <w:t>2012</w:t>
            </w:r>
            <w:r w:rsidRPr="00DF02CB">
              <w:rPr>
                <w:rFonts w:ascii="Times New Roman" w:eastAsia="Times New Roman" w:hAnsi="Times New Roman" w:cs="Times New Roman"/>
                <w:sz w:val="24"/>
                <w:szCs w:val="24"/>
                <w:lang w:eastAsia="tr-TR"/>
              </w:rPr>
              <w:br/>
              <w:t>2013</w:t>
            </w:r>
          </w:p>
        </w:tc>
        <w:tc>
          <w:tcPr>
            <w:tcW w:w="0" w:type="auto"/>
            <w:tcBorders>
              <w:top w:val="outset" w:sz="6" w:space="0" w:color="999999"/>
              <w:left w:val="outset" w:sz="6" w:space="0" w:color="999999"/>
              <w:bottom w:val="outset" w:sz="6" w:space="0" w:color="999999"/>
              <w:right w:val="outset" w:sz="6" w:space="0" w:color="999999"/>
            </w:tcBorders>
            <w:hideMark/>
          </w:tcPr>
          <w:p w:rsidR="00580CB7" w:rsidRPr="00DF02CB" w:rsidRDefault="00580CB7" w:rsidP="00580CB7">
            <w:pPr>
              <w:spacing w:after="0" w:line="240" w:lineRule="auto"/>
              <w:jc w:val="center"/>
              <w:rPr>
                <w:rFonts w:ascii="Times New Roman" w:eastAsia="Times New Roman" w:hAnsi="Times New Roman" w:cs="Times New Roman"/>
                <w:sz w:val="24"/>
                <w:szCs w:val="24"/>
                <w:lang w:eastAsia="tr-TR"/>
              </w:rPr>
            </w:pPr>
            <w:r w:rsidRPr="00DF02CB">
              <w:rPr>
                <w:rFonts w:ascii="Times New Roman" w:eastAsia="Times New Roman" w:hAnsi="Times New Roman" w:cs="Times New Roman"/>
                <w:sz w:val="24"/>
                <w:szCs w:val="24"/>
                <w:lang w:eastAsia="tr-TR"/>
              </w:rPr>
              <w:t>2.000</w:t>
            </w:r>
            <w:r w:rsidRPr="00DF02CB">
              <w:rPr>
                <w:rFonts w:ascii="Times New Roman" w:eastAsia="Times New Roman" w:hAnsi="Times New Roman" w:cs="Times New Roman"/>
                <w:sz w:val="24"/>
                <w:szCs w:val="24"/>
                <w:lang w:eastAsia="tr-TR"/>
              </w:rPr>
              <w:br/>
              <w:t>2.000</w:t>
            </w:r>
            <w:r w:rsidRPr="00DF02CB">
              <w:rPr>
                <w:rFonts w:ascii="Times New Roman" w:eastAsia="Times New Roman" w:hAnsi="Times New Roman" w:cs="Times New Roman"/>
                <w:sz w:val="24"/>
                <w:szCs w:val="24"/>
                <w:lang w:eastAsia="tr-TR"/>
              </w:rPr>
              <w:br/>
              <w:t>2.000</w:t>
            </w:r>
            <w:r w:rsidRPr="00DF02CB">
              <w:rPr>
                <w:rFonts w:ascii="Times New Roman" w:eastAsia="Times New Roman" w:hAnsi="Times New Roman" w:cs="Times New Roman"/>
                <w:sz w:val="24"/>
                <w:szCs w:val="24"/>
                <w:lang w:eastAsia="tr-TR"/>
              </w:rPr>
              <w:br/>
              <w:t>2.000</w:t>
            </w:r>
            <w:r w:rsidRPr="00DF02CB">
              <w:rPr>
                <w:rFonts w:ascii="Times New Roman" w:eastAsia="Times New Roman" w:hAnsi="Times New Roman" w:cs="Times New Roman"/>
                <w:sz w:val="24"/>
                <w:szCs w:val="24"/>
                <w:lang w:eastAsia="tr-TR"/>
              </w:rPr>
              <w:br/>
              <w:t>2.000</w:t>
            </w:r>
          </w:p>
        </w:tc>
        <w:tc>
          <w:tcPr>
            <w:tcW w:w="0" w:type="auto"/>
            <w:tcBorders>
              <w:top w:val="outset" w:sz="6" w:space="0" w:color="999999"/>
              <w:left w:val="outset" w:sz="6" w:space="0" w:color="999999"/>
              <w:bottom w:val="outset" w:sz="6" w:space="0" w:color="999999"/>
              <w:right w:val="outset" w:sz="6" w:space="0" w:color="999999"/>
            </w:tcBorders>
            <w:hideMark/>
          </w:tcPr>
          <w:p w:rsidR="00580CB7" w:rsidRPr="00DF02CB" w:rsidRDefault="00580CB7" w:rsidP="00580CB7">
            <w:pPr>
              <w:spacing w:after="0" w:line="240" w:lineRule="auto"/>
              <w:jc w:val="center"/>
              <w:rPr>
                <w:rFonts w:ascii="Times New Roman" w:eastAsia="Times New Roman" w:hAnsi="Times New Roman" w:cs="Times New Roman"/>
                <w:sz w:val="24"/>
                <w:szCs w:val="24"/>
                <w:lang w:eastAsia="tr-TR"/>
              </w:rPr>
            </w:pPr>
            <w:r w:rsidRPr="00DF02CB">
              <w:rPr>
                <w:rFonts w:ascii="Times New Roman" w:eastAsia="Times New Roman" w:hAnsi="Times New Roman" w:cs="Times New Roman"/>
                <w:sz w:val="24"/>
                <w:szCs w:val="24"/>
                <w:lang w:eastAsia="tr-TR"/>
              </w:rPr>
              <w:t>2.000</w:t>
            </w:r>
            <w:r w:rsidRPr="00DF02CB">
              <w:rPr>
                <w:rFonts w:ascii="Times New Roman" w:eastAsia="Times New Roman" w:hAnsi="Times New Roman" w:cs="Times New Roman"/>
                <w:sz w:val="24"/>
                <w:szCs w:val="24"/>
                <w:lang w:eastAsia="tr-TR"/>
              </w:rPr>
              <w:br/>
              <w:t>4.000</w:t>
            </w:r>
            <w:r w:rsidRPr="00DF02CB">
              <w:rPr>
                <w:rFonts w:ascii="Times New Roman" w:eastAsia="Times New Roman" w:hAnsi="Times New Roman" w:cs="Times New Roman"/>
                <w:sz w:val="24"/>
                <w:szCs w:val="24"/>
                <w:lang w:eastAsia="tr-TR"/>
              </w:rPr>
              <w:br/>
              <w:t>6.000</w:t>
            </w:r>
            <w:r w:rsidRPr="00DF02CB">
              <w:rPr>
                <w:rFonts w:ascii="Times New Roman" w:eastAsia="Times New Roman" w:hAnsi="Times New Roman" w:cs="Times New Roman"/>
                <w:sz w:val="24"/>
                <w:szCs w:val="24"/>
                <w:lang w:eastAsia="tr-TR"/>
              </w:rPr>
              <w:br/>
              <w:t>8.000</w:t>
            </w:r>
            <w:r w:rsidRPr="00DF02CB">
              <w:rPr>
                <w:rFonts w:ascii="Times New Roman" w:eastAsia="Times New Roman" w:hAnsi="Times New Roman" w:cs="Times New Roman"/>
                <w:sz w:val="24"/>
                <w:szCs w:val="24"/>
                <w:lang w:eastAsia="tr-TR"/>
              </w:rPr>
              <w:br/>
              <w:t>10.000</w:t>
            </w:r>
          </w:p>
        </w:tc>
        <w:tc>
          <w:tcPr>
            <w:tcW w:w="0" w:type="auto"/>
            <w:tcBorders>
              <w:top w:val="outset" w:sz="6" w:space="0" w:color="999999"/>
              <w:left w:val="outset" w:sz="6" w:space="0" w:color="999999"/>
              <w:bottom w:val="outset" w:sz="6" w:space="0" w:color="999999"/>
              <w:right w:val="outset" w:sz="6" w:space="0" w:color="999999"/>
            </w:tcBorders>
            <w:hideMark/>
          </w:tcPr>
          <w:p w:rsidR="00580CB7" w:rsidRPr="00DF02CB" w:rsidRDefault="00580CB7" w:rsidP="00580CB7">
            <w:pPr>
              <w:spacing w:after="0" w:line="240" w:lineRule="auto"/>
              <w:jc w:val="center"/>
              <w:rPr>
                <w:rFonts w:ascii="Times New Roman" w:eastAsia="Times New Roman" w:hAnsi="Times New Roman" w:cs="Times New Roman"/>
                <w:sz w:val="24"/>
                <w:szCs w:val="24"/>
                <w:lang w:eastAsia="tr-TR"/>
              </w:rPr>
            </w:pPr>
            <w:r w:rsidRPr="00DF02CB">
              <w:rPr>
                <w:rFonts w:ascii="Times New Roman" w:eastAsia="Times New Roman" w:hAnsi="Times New Roman" w:cs="Times New Roman"/>
                <w:sz w:val="24"/>
                <w:szCs w:val="24"/>
                <w:lang w:eastAsia="tr-TR"/>
              </w:rPr>
              <w:t>8.000</w:t>
            </w:r>
            <w:r w:rsidRPr="00DF02CB">
              <w:rPr>
                <w:rFonts w:ascii="Times New Roman" w:eastAsia="Times New Roman" w:hAnsi="Times New Roman" w:cs="Times New Roman"/>
                <w:sz w:val="24"/>
                <w:szCs w:val="24"/>
                <w:lang w:eastAsia="tr-TR"/>
              </w:rPr>
              <w:br/>
              <w:t>6.000</w:t>
            </w:r>
            <w:r w:rsidRPr="00DF02CB">
              <w:rPr>
                <w:rFonts w:ascii="Times New Roman" w:eastAsia="Times New Roman" w:hAnsi="Times New Roman" w:cs="Times New Roman"/>
                <w:sz w:val="24"/>
                <w:szCs w:val="24"/>
                <w:lang w:eastAsia="tr-TR"/>
              </w:rPr>
              <w:br/>
              <w:t>4.000</w:t>
            </w:r>
            <w:r w:rsidRPr="00DF02CB">
              <w:rPr>
                <w:rFonts w:ascii="Times New Roman" w:eastAsia="Times New Roman" w:hAnsi="Times New Roman" w:cs="Times New Roman"/>
                <w:sz w:val="24"/>
                <w:szCs w:val="24"/>
                <w:lang w:eastAsia="tr-TR"/>
              </w:rPr>
              <w:br/>
              <w:t>2.000</w:t>
            </w:r>
            <w:r w:rsidRPr="00DF02CB">
              <w:rPr>
                <w:rFonts w:ascii="Times New Roman" w:eastAsia="Times New Roman" w:hAnsi="Times New Roman" w:cs="Times New Roman"/>
                <w:sz w:val="24"/>
                <w:szCs w:val="24"/>
                <w:lang w:eastAsia="tr-TR"/>
              </w:rPr>
              <w:br/>
              <w:t>0</w:t>
            </w:r>
          </w:p>
        </w:tc>
      </w:tr>
    </w:tbl>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br/>
        <w:t>Dönem sonundaki muhasebe kayıdı:</w:t>
      </w:r>
    </w:p>
    <w:tbl>
      <w:tblPr>
        <w:tblW w:w="8160" w:type="dxa"/>
        <w:jc w:val="center"/>
        <w:tblCellSpacing w:w="0" w:type="dxa"/>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firstRow="1" w:lastRow="0" w:firstColumn="1" w:lastColumn="0" w:noHBand="0" w:noVBand="1"/>
        <w:tblCaption w:val="Yevmiye maddesi"/>
      </w:tblPr>
      <w:tblGrid>
        <w:gridCol w:w="466"/>
        <w:gridCol w:w="4990"/>
        <w:gridCol w:w="1352"/>
        <w:gridCol w:w="1352"/>
      </w:tblGrid>
      <w:tr w:rsidR="00580CB7" w:rsidRPr="00DF02CB" w:rsidTr="00580CB7">
        <w:trPr>
          <w:trHeight w:val="900"/>
          <w:tblCellSpacing w:w="0" w:type="dxa"/>
          <w:jc w:val="center"/>
        </w:trPr>
        <w:tc>
          <w:tcPr>
            <w:tcW w:w="525"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2</w:t>
            </w:r>
          </w:p>
        </w:tc>
        <w:tc>
          <w:tcPr>
            <w:tcW w:w="4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....................................Tarih......................................</w:t>
            </w:r>
          </w:p>
          <w:p w:rsidR="00580CB7" w:rsidRPr="00DF02CB" w:rsidRDefault="00580CB7" w:rsidP="00580CB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770 Genel Yönetim Gideri Hesabı</w:t>
            </w:r>
          </w:p>
          <w:p w:rsidR="00580CB7" w:rsidRPr="00DF02CB" w:rsidRDefault="00580CB7" w:rsidP="00580CB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257 Birikmiş Amortismanlar Hesabı</w:t>
            </w:r>
            <w:r w:rsidR="004231F6" w:rsidRPr="00DF02CB">
              <w:rPr>
                <w:rFonts w:ascii="Times New Roman" w:eastAsia="Times New Roman" w:hAnsi="Times New Roman" w:cs="Times New Roman"/>
                <w:color w:val="000000"/>
                <w:sz w:val="24"/>
                <w:szCs w:val="24"/>
                <w:lang w:eastAsia="tr-TR"/>
              </w:rPr>
              <w:t xml:space="preserve"> </w:t>
            </w:r>
            <w:r w:rsidR="004231F6" w:rsidRPr="00DF02CB">
              <w:rPr>
                <w:rFonts w:ascii="Times New Roman" w:eastAsia="Times New Roman" w:hAnsi="Times New Roman" w:cs="Times New Roman"/>
                <w:sz w:val="24"/>
                <w:szCs w:val="24"/>
                <w:lang w:eastAsia="tr-TR"/>
              </w:rPr>
              <w:t>(-)</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Demirbaşa amortisman ayrılması</w:t>
            </w:r>
          </w:p>
        </w:tc>
        <w:tc>
          <w:tcPr>
            <w:tcW w:w="1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2.000</w:t>
            </w:r>
          </w:p>
        </w:tc>
        <w:tc>
          <w:tcPr>
            <w:tcW w:w="1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2.000</w:t>
            </w:r>
          </w:p>
        </w:tc>
      </w:tr>
    </w:tbl>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br/>
        <w:t>Maddi Duran Varlıkların Satılmasında Amortisman: </w:t>
      </w:r>
      <w:r w:rsidRPr="00DF02CB">
        <w:rPr>
          <w:rFonts w:ascii="Times New Roman" w:eastAsia="Times New Roman" w:hAnsi="Times New Roman" w:cs="Times New Roman"/>
          <w:color w:val="000000"/>
          <w:sz w:val="24"/>
          <w:szCs w:val="24"/>
          <w:lang w:eastAsia="tr-TR"/>
        </w:rPr>
        <w:t>Bu varlıklar satılırsa, maddi duran varlığa ilişkin birikmiş amortisman hesabıda kapatılır. Varlığın satışından kâr elde edilirse </w:t>
      </w:r>
      <w:r w:rsidRPr="00DF02CB">
        <w:rPr>
          <w:rFonts w:ascii="Times New Roman" w:eastAsia="Times New Roman" w:hAnsi="Times New Roman" w:cs="Times New Roman"/>
          <w:b/>
          <w:bCs/>
          <w:color w:val="000000"/>
          <w:sz w:val="24"/>
          <w:szCs w:val="24"/>
          <w:lang w:eastAsia="tr-TR"/>
        </w:rPr>
        <w:t>679 Diğer Olağandışı Gelir ve Karlar Hesabı</w:t>
      </w:r>
      <w:r w:rsidRPr="00DF02CB">
        <w:rPr>
          <w:rFonts w:ascii="Times New Roman" w:eastAsia="Times New Roman" w:hAnsi="Times New Roman" w:cs="Times New Roman"/>
          <w:color w:val="000000"/>
          <w:sz w:val="24"/>
          <w:szCs w:val="24"/>
          <w:lang w:eastAsia="tr-TR"/>
        </w:rPr>
        <w:t>na alacak olarak kaydedilir, zarar meydana gelirse ise </w:t>
      </w:r>
      <w:r w:rsidRPr="00DF02CB">
        <w:rPr>
          <w:rFonts w:ascii="Times New Roman" w:eastAsia="Times New Roman" w:hAnsi="Times New Roman" w:cs="Times New Roman"/>
          <w:b/>
          <w:bCs/>
          <w:color w:val="000000"/>
          <w:sz w:val="24"/>
          <w:szCs w:val="24"/>
          <w:lang w:eastAsia="tr-TR"/>
        </w:rPr>
        <w:t>689 Diğer Olağandışı Gider ve Zararlar Hesabı</w:t>
      </w:r>
      <w:r w:rsidRPr="00DF02CB">
        <w:rPr>
          <w:rFonts w:ascii="Times New Roman" w:eastAsia="Times New Roman" w:hAnsi="Times New Roman" w:cs="Times New Roman"/>
          <w:color w:val="000000"/>
          <w:sz w:val="24"/>
          <w:szCs w:val="24"/>
          <w:lang w:eastAsia="tr-TR"/>
        </w:rPr>
        <w:t>na borç olarak kaydedilir.</w:t>
      </w: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Örneğin devamı: </w:t>
      </w:r>
      <w:r w:rsidRPr="00DF02CB">
        <w:rPr>
          <w:rFonts w:ascii="Times New Roman" w:eastAsia="Times New Roman" w:hAnsi="Times New Roman" w:cs="Times New Roman"/>
          <w:color w:val="000000"/>
          <w:sz w:val="24"/>
          <w:szCs w:val="24"/>
          <w:lang w:eastAsia="tr-TR"/>
        </w:rPr>
        <w:t>İşletme ertesi yıl aldığı demirbaşı 7.500 TL ye satıyor. KDV % 18 hariç.</w:t>
      </w:r>
    </w:p>
    <w:tbl>
      <w:tblPr>
        <w:tblW w:w="8160" w:type="dxa"/>
        <w:jc w:val="center"/>
        <w:tblCellSpacing w:w="0" w:type="dxa"/>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firstRow="1" w:lastRow="0" w:firstColumn="1" w:lastColumn="0" w:noHBand="0" w:noVBand="1"/>
        <w:tblCaption w:val="Yevmiye maddesi"/>
      </w:tblPr>
      <w:tblGrid>
        <w:gridCol w:w="458"/>
        <w:gridCol w:w="4990"/>
        <w:gridCol w:w="1356"/>
        <w:gridCol w:w="1356"/>
      </w:tblGrid>
      <w:tr w:rsidR="00580CB7" w:rsidRPr="00DF02CB" w:rsidTr="00580CB7">
        <w:trPr>
          <w:trHeight w:val="900"/>
          <w:tblCellSpacing w:w="0" w:type="dxa"/>
          <w:jc w:val="center"/>
        </w:trPr>
        <w:tc>
          <w:tcPr>
            <w:tcW w:w="525"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1</w:t>
            </w:r>
          </w:p>
        </w:tc>
        <w:tc>
          <w:tcPr>
            <w:tcW w:w="4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....................................Tarih......................................</w:t>
            </w:r>
          </w:p>
          <w:p w:rsidR="00580CB7" w:rsidRPr="00DF02CB" w:rsidRDefault="00580CB7" w:rsidP="00580CB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100 Kasa Hesabı</w:t>
            </w:r>
            <w:r w:rsidRPr="00DF02CB">
              <w:rPr>
                <w:rFonts w:ascii="Times New Roman" w:eastAsia="Times New Roman" w:hAnsi="Times New Roman" w:cs="Times New Roman"/>
                <w:color w:val="000000"/>
                <w:sz w:val="24"/>
                <w:szCs w:val="24"/>
                <w:lang w:eastAsia="tr-TR"/>
              </w:rPr>
              <w:br/>
              <w:t>257 Birikmiş Amortismanlar Hesabı</w:t>
            </w:r>
            <w:r w:rsidRPr="00DF02CB">
              <w:rPr>
                <w:rFonts w:ascii="Times New Roman" w:eastAsia="Times New Roman" w:hAnsi="Times New Roman" w:cs="Times New Roman"/>
                <w:color w:val="000000"/>
                <w:sz w:val="24"/>
                <w:szCs w:val="24"/>
                <w:lang w:eastAsia="tr-TR"/>
              </w:rPr>
              <w:br/>
              <w:t>689 Diğer Olağandışı Gider ve Zararlar Hs</w:t>
            </w:r>
          </w:p>
          <w:p w:rsidR="00580CB7" w:rsidRPr="00DF02CB" w:rsidRDefault="00580CB7" w:rsidP="00580CB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255 Demirbaşlar Hesabı</w:t>
            </w:r>
            <w:r w:rsidRPr="00DF02CB">
              <w:rPr>
                <w:rFonts w:ascii="Times New Roman" w:eastAsia="Times New Roman" w:hAnsi="Times New Roman" w:cs="Times New Roman"/>
                <w:color w:val="000000"/>
                <w:sz w:val="24"/>
                <w:szCs w:val="24"/>
                <w:lang w:eastAsia="tr-TR"/>
              </w:rPr>
              <w:br/>
              <w:t>391 Hesaplanan KDV Hesabı</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Demirbaşın satılması</w:t>
            </w:r>
          </w:p>
        </w:tc>
        <w:tc>
          <w:tcPr>
            <w:tcW w:w="1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w:t>
            </w:r>
          </w:p>
          <w:p w:rsidR="00580CB7" w:rsidRPr="00DF02CB" w:rsidRDefault="00580CB7" w:rsidP="00580CB7">
            <w:pPr>
              <w:spacing w:before="100" w:beforeAutospacing="1" w:after="24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8.850*</w:t>
            </w:r>
            <w:r w:rsidRPr="00DF02CB">
              <w:rPr>
                <w:rFonts w:ascii="Times New Roman" w:eastAsia="Times New Roman" w:hAnsi="Times New Roman" w:cs="Times New Roman"/>
                <w:color w:val="000000"/>
                <w:sz w:val="24"/>
                <w:szCs w:val="24"/>
                <w:lang w:eastAsia="tr-TR"/>
              </w:rPr>
              <w:br/>
              <w:t>2.000 </w:t>
            </w:r>
            <w:r w:rsidRPr="00DF02CB">
              <w:rPr>
                <w:rFonts w:ascii="Times New Roman" w:eastAsia="Times New Roman" w:hAnsi="Times New Roman" w:cs="Times New Roman"/>
                <w:color w:val="000000"/>
                <w:sz w:val="24"/>
                <w:szCs w:val="24"/>
                <w:lang w:eastAsia="tr-TR"/>
              </w:rPr>
              <w:br/>
              <w:t>500</w:t>
            </w:r>
          </w:p>
        </w:tc>
        <w:tc>
          <w:tcPr>
            <w:tcW w:w="1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br/>
            </w:r>
            <w:r w:rsidRPr="00DF02CB">
              <w:rPr>
                <w:rFonts w:ascii="Times New Roman" w:eastAsia="Times New Roman" w:hAnsi="Times New Roman" w:cs="Times New Roman"/>
                <w:color w:val="000000"/>
                <w:sz w:val="24"/>
                <w:szCs w:val="24"/>
                <w:lang w:eastAsia="tr-TR"/>
              </w:rPr>
              <w:br/>
              <w:t>10.000</w:t>
            </w:r>
            <w:r w:rsidRPr="00DF02CB">
              <w:rPr>
                <w:rFonts w:ascii="Times New Roman" w:eastAsia="Times New Roman" w:hAnsi="Times New Roman" w:cs="Times New Roman"/>
                <w:color w:val="000000"/>
                <w:sz w:val="24"/>
                <w:szCs w:val="24"/>
                <w:lang w:eastAsia="tr-TR"/>
              </w:rPr>
              <w:br/>
              <w:t>1.350*</w:t>
            </w:r>
          </w:p>
        </w:tc>
      </w:tr>
    </w:tbl>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 </w:t>
      </w:r>
      <w:r w:rsidRPr="00DF02CB">
        <w:rPr>
          <w:rFonts w:ascii="Times New Roman" w:eastAsia="Times New Roman" w:hAnsi="Times New Roman" w:cs="Times New Roman"/>
          <w:color w:val="000000"/>
          <w:sz w:val="24"/>
          <w:szCs w:val="24"/>
          <w:lang w:eastAsia="tr-TR"/>
        </w:rPr>
        <w:t>7.500 x %18 = 1.350</w:t>
      </w:r>
      <w:r w:rsidRPr="00DF02CB">
        <w:rPr>
          <w:rFonts w:ascii="Times New Roman" w:eastAsia="Times New Roman" w:hAnsi="Times New Roman" w:cs="Times New Roman"/>
          <w:b/>
          <w:bCs/>
          <w:color w:val="000000"/>
          <w:sz w:val="24"/>
          <w:szCs w:val="24"/>
          <w:lang w:eastAsia="tr-TR"/>
        </w:rPr>
        <w:br/>
        <w:t>*</w:t>
      </w:r>
      <w:r w:rsidRPr="00DF02CB">
        <w:rPr>
          <w:rFonts w:ascii="Times New Roman" w:eastAsia="Times New Roman" w:hAnsi="Times New Roman" w:cs="Times New Roman"/>
          <w:color w:val="000000"/>
          <w:sz w:val="24"/>
          <w:szCs w:val="24"/>
          <w:lang w:eastAsia="tr-TR"/>
        </w:rPr>
        <w:t> 7.500 + 1.350 = 8.850</w:t>
      </w: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p>
    <w:p w:rsidR="00580CB7" w:rsidRPr="00DF02CB" w:rsidRDefault="00580CB7">
      <w:pPr>
        <w:rPr>
          <w:rFonts w:ascii="Times New Roman" w:hAnsi="Times New Roman" w:cs="Times New Roman"/>
          <w:color w:val="000000"/>
          <w:sz w:val="24"/>
          <w:szCs w:val="24"/>
          <w:shd w:val="clear" w:color="auto" w:fill="FFFFFF"/>
        </w:rPr>
      </w:pPr>
      <w:r w:rsidRPr="00DF02CB">
        <w:rPr>
          <w:rStyle w:val="Gl"/>
          <w:rFonts w:ascii="Times New Roman" w:hAnsi="Times New Roman" w:cs="Times New Roman"/>
          <w:color w:val="000000"/>
          <w:sz w:val="24"/>
          <w:szCs w:val="24"/>
          <w:shd w:val="clear" w:color="auto" w:fill="FFFFFF"/>
        </w:rPr>
        <w:t>2. Azalan Bakiyeler Yöntemi:</w:t>
      </w:r>
      <w:r w:rsidRPr="00DF02CB">
        <w:rPr>
          <w:rFonts w:ascii="Times New Roman" w:hAnsi="Times New Roman" w:cs="Times New Roman"/>
          <w:color w:val="000000"/>
          <w:sz w:val="24"/>
          <w:szCs w:val="24"/>
          <w:shd w:val="clear" w:color="auto" w:fill="FFFFFF"/>
        </w:rPr>
        <w:t> Kalan değerler üzerinden amortisman olarak hesaplanır. Normal amortisman oraının 2 katı alınır, ancak bu oran % 50 yi geçemez. Amortisman oranı net değer üzerinden hesaplanır, yani varlığın tutarından ayrılmış birikmiş amortismanlar çıkarılır. Son yılda ise tutarın tamamı amortisman olarak yazılır.</w:t>
      </w: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Örnek:</w:t>
      </w:r>
      <w:r w:rsidRPr="00DF02CB">
        <w:rPr>
          <w:rFonts w:ascii="Times New Roman" w:eastAsia="Times New Roman" w:hAnsi="Times New Roman" w:cs="Times New Roman"/>
          <w:color w:val="000000"/>
          <w:sz w:val="24"/>
          <w:szCs w:val="24"/>
          <w:lang w:eastAsia="tr-TR"/>
        </w:rPr>
        <w:t> İşletme 10.000 TL değerinde bir demirbaşı almıştır. KDV % 18 hariç. Demirbaşın ekonomik ömrü 5 yıldır. Amortisman hesaplamasını ve muhasebe kaydını yapınız.</w:t>
      </w:r>
    </w:p>
    <w:tbl>
      <w:tblPr>
        <w:tblW w:w="8160" w:type="dxa"/>
        <w:jc w:val="center"/>
        <w:tblCellSpacing w:w="0" w:type="dxa"/>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firstRow="1" w:lastRow="0" w:firstColumn="1" w:lastColumn="0" w:noHBand="0" w:noVBand="1"/>
        <w:tblCaption w:val="Yevmiye maddesi"/>
      </w:tblPr>
      <w:tblGrid>
        <w:gridCol w:w="530"/>
        <w:gridCol w:w="4990"/>
        <w:gridCol w:w="1268"/>
        <w:gridCol w:w="1372"/>
      </w:tblGrid>
      <w:tr w:rsidR="00580CB7" w:rsidRPr="00DF02CB" w:rsidTr="00580CB7">
        <w:trPr>
          <w:trHeight w:val="525"/>
          <w:tblCellSpacing w:w="0" w:type="dxa"/>
          <w:jc w:val="center"/>
        </w:trPr>
        <w:tc>
          <w:tcPr>
            <w:tcW w:w="5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Mad. No</w:t>
            </w:r>
          </w:p>
        </w:tc>
        <w:tc>
          <w:tcPr>
            <w:tcW w:w="45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AÇIKLAMA</w:t>
            </w:r>
          </w:p>
        </w:tc>
        <w:tc>
          <w:tcPr>
            <w:tcW w:w="15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BORÇ</w:t>
            </w:r>
          </w:p>
        </w:tc>
        <w:tc>
          <w:tcPr>
            <w:tcW w:w="15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ALACAK</w:t>
            </w:r>
          </w:p>
        </w:tc>
      </w:tr>
      <w:tr w:rsidR="00580CB7" w:rsidRPr="00DF02CB" w:rsidTr="00580CB7">
        <w:trPr>
          <w:trHeight w:val="900"/>
          <w:tblCellSpacing w:w="0" w:type="dxa"/>
          <w:jc w:val="center"/>
        </w:trPr>
        <w:tc>
          <w:tcPr>
            <w:tcW w:w="525"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1</w:t>
            </w:r>
          </w:p>
        </w:tc>
        <w:tc>
          <w:tcPr>
            <w:tcW w:w="4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....................................Tarih......................................</w:t>
            </w:r>
          </w:p>
          <w:p w:rsidR="00580CB7" w:rsidRPr="00DF02CB" w:rsidRDefault="00580CB7" w:rsidP="00580CB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255 Demirbaşlar Hesabı</w:t>
            </w:r>
            <w:r w:rsidRPr="00DF02CB">
              <w:rPr>
                <w:rFonts w:ascii="Times New Roman" w:eastAsia="Times New Roman" w:hAnsi="Times New Roman" w:cs="Times New Roman"/>
                <w:color w:val="000000"/>
                <w:sz w:val="24"/>
                <w:szCs w:val="24"/>
                <w:lang w:eastAsia="tr-TR"/>
              </w:rPr>
              <w:br/>
              <w:t>191 İndirilecek KDV Hesabı</w:t>
            </w:r>
          </w:p>
          <w:p w:rsidR="00580CB7" w:rsidRPr="00DF02CB" w:rsidRDefault="00580CB7" w:rsidP="00580CB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100 Kasa Hesabı</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Peşin demirbaş alınması</w:t>
            </w:r>
          </w:p>
        </w:tc>
        <w:tc>
          <w:tcPr>
            <w:tcW w:w="1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10.000</w:t>
            </w:r>
            <w:r w:rsidRPr="00DF02CB">
              <w:rPr>
                <w:rFonts w:ascii="Times New Roman" w:eastAsia="Times New Roman" w:hAnsi="Times New Roman" w:cs="Times New Roman"/>
                <w:color w:val="000000"/>
                <w:sz w:val="24"/>
                <w:szCs w:val="24"/>
                <w:lang w:eastAsia="tr-TR"/>
              </w:rPr>
              <w:br/>
              <w:t>1.800</w:t>
            </w:r>
          </w:p>
        </w:tc>
        <w:tc>
          <w:tcPr>
            <w:tcW w:w="1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br/>
              <w:t>11.800</w:t>
            </w:r>
          </w:p>
        </w:tc>
      </w:tr>
    </w:tbl>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Amortisman oranı:</w:t>
      </w:r>
      <w:r w:rsidRPr="00DF02CB">
        <w:rPr>
          <w:rFonts w:ascii="Times New Roman" w:eastAsia="Times New Roman" w:hAnsi="Times New Roman" w:cs="Times New Roman"/>
          <w:color w:val="000000"/>
          <w:sz w:val="24"/>
          <w:szCs w:val="24"/>
          <w:lang w:eastAsia="tr-TR"/>
        </w:rPr>
        <w:t> 1 / Ekonomik Ömür</w:t>
      </w:r>
    </w:p>
    <w:p w:rsidR="00580CB7" w:rsidRPr="00DF02CB" w:rsidRDefault="00580CB7" w:rsidP="00580CB7">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1 / 5 = 0,.20</w:t>
      </w: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0.20 x 2 (iki katı alınır) = 0,40 yani % 40 dır.</w:t>
      </w: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10.000 x % 40 = </w:t>
      </w:r>
      <w:r w:rsidRPr="00DF02CB">
        <w:rPr>
          <w:rFonts w:ascii="Times New Roman" w:eastAsia="Times New Roman" w:hAnsi="Times New Roman" w:cs="Times New Roman"/>
          <w:b/>
          <w:bCs/>
          <w:color w:val="000000"/>
          <w:sz w:val="24"/>
          <w:szCs w:val="24"/>
          <w:lang w:eastAsia="tr-TR"/>
        </w:rPr>
        <w:t>4.000 TL</w:t>
      </w:r>
      <w:r w:rsidRPr="00DF02CB">
        <w:rPr>
          <w:rFonts w:ascii="Times New Roman" w:eastAsia="Times New Roman" w:hAnsi="Times New Roman" w:cs="Times New Roman"/>
          <w:color w:val="000000"/>
          <w:sz w:val="24"/>
          <w:szCs w:val="24"/>
          <w:lang w:eastAsia="tr-TR"/>
        </w:rPr>
        <w:t> yıllık amortisman tutarı</w:t>
      </w:r>
    </w:p>
    <w:p w:rsidR="00580CB7" w:rsidRPr="00DF02CB" w:rsidRDefault="00580CB7" w:rsidP="00580CB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Amortisman Tablosu:</w:t>
      </w:r>
    </w:p>
    <w:tbl>
      <w:tblPr>
        <w:tblW w:w="9000" w:type="dxa"/>
        <w:jc w:val="center"/>
        <w:tblCellSpacing w:w="0" w:type="dxa"/>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firstRow="1" w:lastRow="0" w:firstColumn="1" w:lastColumn="0" w:noHBand="0" w:noVBand="1"/>
      </w:tblPr>
      <w:tblGrid>
        <w:gridCol w:w="1176"/>
        <w:gridCol w:w="2608"/>
        <w:gridCol w:w="2608"/>
        <w:gridCol w:w="2608"/>
      </w:tblGrid>
      <w:tr w:rsidR="00580CB7" w:rsidRPr="00DF02CB" w:rsidTr="00580CB7">
        <w:trPr>
          <w:tblCellSpacing w:w="0" w:type="dxa"/>
          <w:jc w:val="center"/>
        </w:trPr>
        <w:tc>
          <w:tcPr>
            <w:tcW w:w="115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Yıllar</w:t>
            </w:r>
          </w:p>
        </w:tc>
        <w:tc>
          <w:tcPr>
            <w:tcW w:w="256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Tutar</w:t>
            </w:r>
          </w:p>
        </w:tc>
        <w:tc>
          <w:tcPr>
            <w:tcW w:w="256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Yıllık Amortisman Tutarı</w:t>
            </w:r>
          </w:p>
        </w:tc>
        <w:tc>
          <w:tcPr>
            <w:tcW w:w="256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Birikmiş Amortisman</w:t>
            </w:r>
          </w:p>
        </w:tc>
      </w:tr>
      <w:tr w:rsidR="00580CB7" w:rsidRPr="00DF02CB" w:rsidTr="00580CB7">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2009</w:t>
            </w:r>
            <w:r w:rsidRPr="00DF02CB">
              <w:rPr>
                <w:rFonts w:ascii="Times New Roman" w:eastAsia="Times New Roman" w:hAnsi="Times New Roman" w:cs="Times New Roman"/>
                <w:color w:val="000000"/>
                <w:sz w:val="24"/>
                <w:szCs w:val="24"/>
                <w:lang w:eastAsia="tr-TR"/>
              </w:rPr>
              <w:br/>
              <w:t>2010</w:t>
            </w:r>
            <w:r w:rsidRPr="00DF02CB">
              <w:rPr>
                <w:rFonts w:ascii="Times New Roman" w:eastAsia="Times New Roman" w:hAnsi="Times New Roman" w:cs="Times New Roman"/>
                <w:color w:val="000000"/>
                <w:sz w:val="24"/>
                <w:szCs w:val="24"/>
                <w:lang w:eastAsia="tr-TR"/>
              </w:rPr>
              <w:br/>
              <w:t>2011</w:t>
            </w:r>
            <w:r w:rsidRPr="00DF02CB">
              <w:rPr>
                <w:rFonts w:ascii="Times New Roman" w:eastAsia="Times New Roman" w:hAnsi="Times New Roman" w:cs="Times New Roman"/>
                <w:color w:val="000000"/>
                <w:sz w:val="24"/>
                <w:szCs w:val="24"/>
                <w:lang w:eastAsia="tr-TR"/>
              </w:rPr>
              <w:br/>
              <w:t>2012</w:t>
            </w:r>
            <w:r w:rsidRPr="00DF02CB">
              <w:rPr>
                <w:rFonts w:ascii="Times New Roman" w:eastAsia="Times New Roman" w:hAnsi="Times New Roman" w:cs="Times New Roman"/>
                <w:color w:val="000000"/>
                <w:sz w:val="24"/>
                <w:szCs w:val="24"/>
                <w:lang w:eastAsia="tr-TR"/>
              </w:rPr>
              <w:br/>
              <w:t>2013</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10.000</w:t>
            </w:r>
            <w:r w:rsidRPr="00DF02CB">
              <w:rPr>
                <w:rFonts w:ascii="Times New Roman" w:eastAsia="Times New Roman" w:hAnsi="Times New Roman" w:cs="Times New Roman"/>
                <w:color w:val="000000"/>
                <w:sz w:val="24"/>
                <w:szCs w:val="24"/>
                <w:lang w:eastAsia="tr-TR"/>
              </w:rPr>
              <w:br/>
              <w:t>6.000</w:t>
            </w:r>
            <w:r w:rsidRPr="00DF02CB">
              <w:rPr>
                <w:rFonts w:ascii="Times New Roman" w:eastAsia="Times New Roman" w:hAnsi="Times New Roman" w:cs="Times New Roman"/>
                <w:color w:val="000000"/>
                <w:sz w:val="24"/>
                <w:szCs w:val="24"/>
                <w:lang w:eastAsia="tr-TR"/>
              </w:rPr>
              <w:br/>
              <w:t>3.600</w:t>
            </w:r>
            <w:r w:rsidRPr="00DF02CB">
              <w:rPr>
                <w:rFonts w:ascii="Times New Roman" w:eastAsia="Times New Roman" w:hAnsi="Times New Roman" w:cs="Times New Roman"/>
                <w:color w:val="000000"/>
                <w:sz w:val="24"/>
                <w:szCs w:val="24"/>
                <w:lang w:eastAsia="tr-TR"/>
              </w:rPr>
              <w:br/>
              <w:t>2.160</w:t>
            </w:r>
            <w:r w:rsidRPr="00DF02CB">
              <w:rPr>
                <w:rFonts w:ascii="Times New Roman" w:eastAsia="Times New Roman" w:hAnsi="Times New Roman" w:cs="Times New Roman"/>
                <w:color w:val="000000"/>
                <w:sz w:val="24"/>
                <w:szCs w:val="24"/>
                <w:lang w:eastAsia="tr-TR"/>
              </w:rPr>
              <w:br/>
              <w:t>1.296</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4.000</w:t>
            </w:r>
            <w:r w:rsidRPr="00DF02CB">
              <w:rPr>
                <w:rFonts w:ascii="Times New Roman" w:eastAsia="Times New Roman" w:hAnsi="Times New Roman" w:cs="Times New Roman"/>
                <w:color w:val="000000"/>
                <w:sz w:val="24"/>
                <w:szCs w:val="24"/>
                <w:lang w:eastAsia="tr-TR"/>
              </w:rPr>
              <w:br/>
              <w:t>2.400</w:t>
            </w:r>
            <w:r w:rsidRPr="00DF02CB">
              <w:rPr>
                <w:rFonts w:ascii="Times New Roman" w:eastAsia="Times New Roman" w:hAnsi="Times New Roman" w:cs="Times New Roman"/>
                <w:color w:val="000000"/>
                <w:sz w:val="24"/>
                <w:szCs w:val="24"/>
                <w:lang w:eastAsia="tr-TR"/>
              </w:rPr>
              <w:br/>
              <w:t>1.440</w:t>
            </w:r>
            <w:r w:rsidRPr="00DF02CB">
              <w:rPr>
                <w:rFonts w:ascii="Times New Roman" w:eastAsia="Times New Roman" w:hAnsi="Times New Roman" w:cs="Times New Roman"/>
                <w:color w:val="000000"/>
                <w:sz w:val="24"/>
                <w:szCs w:val="24"/>
                <w:lang w:eastAsia="tr-TR"/>
              </w:rPr>
              <w:br/>
              <w:t>864</w:t>
            </w:r>
            <w:r w:rsidRPr="00DF02CB">
              <w:rPr>
                <w:rFonts w:ascii="Times New Roman" w:eastAsia="Times New Roman" w:hAnsi="Times New Roman" w:cs="Times New Roman"/>
                <w:color w:val="000000"/>
                <w:sz w:val="24"/>
                <w:szCs w:val="24"/>
                <w:lang w:eastAsia="tr-TR"/>
              </w:rPr>
              <w:br/>
              <w:t>1.296</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4.000</w:t>
            </w:r>
            <w:r w:rsidRPr="00DF02CB">
              <w:rPr>
                <w:rFonts w:ascii="Times New Roman" w:eastAsia="Times New Roman" w:hAnsi="Times New Roman" w:cs="Times New Roman"/>
                <w:color w:val="000000"/>
                <w:sz w:val="24"/>
                <w:szCs w:val="24"/>
                <w:lang w:eastAsia="tr-TR"/>
              </w:rPr>
              <w:br/>
              <w:t>6.400</w:t>
            </w:r>
            <w:r w:rsidRPr="00DF02CB">
              <w:rPr>
                <w:rFonts w:ascii="Times New Roman" w:eastAsia="Times New Roman" w:hAnsi="Times New Roman" w:cs="Times New Roman"/>
                <w:color w:val="000000"/>
                <w:sz w:val="24"/>
                <w:szCs w:val="24"/>
                <w:lang w:eastAsia="tr-TR"/>
              </w:rPr>
              <w:br/>
              <w:t>7.840</w:t>
            </w:r>
            <w:r w:rsidRPr="00DF02CB">
              <w:rPr>
                <w:rFonts w:ascii="Times New Roman" w:eastAsia="Times New Roman" w:hAnsi="Times New Roman" w:cs="Times New Roman"/>
                <w:color w:val="000000"/>
                <w:sz w:val="24"/>
                <w:szCs w:val="24"/>
                <w:lang w:eastAsia="tr-TR"/>
              </w:rPr>
              <w:br/>
              <w:t>8.704</w:t>
            </w:r>
            <w:r w:rsidRPr="00DF02CB">
              <w:rPr>
                <w:rFonts w:ascii="Times New Roman" w:eastAsia="Times New Roman" w:hAnsi="Times New Roman" w:cs="Times New Roman"/>
                <w:color w:val="000000"/>
                <w:sz w:val="24"/>
                <w:szCs w:val="24"/>
                <w:lang w:eastAsia="tr-TR"/>
              </w:rPr>
              <w:br/>
              <w:t>10.000</w:t>
            </w:r>
          </w:p>
        </w:tc>
      </w:tr>
    </w:tbl>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br/>
        <w:t>Dönem sonundaki muhasebe kayıdı:</w:t>
      </w:r>
    </w:p>
    <w:tbl>
      <w:tblPr>
        <w:tblW w:w="8160" w:type="dxa"/>
        <w:jc w:val="center"/>
        <w:tblCellSpacing w:w="0" w:type="dxa"/>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firstRow="1" w:lastRow="0" w:firstColumn="1" w:lastColumn="0" w:noHBand="0" w:noVBand="1"/>
        <w:tblCaption w:val="Yevmiye maddesi"/>
      </w:tblPr>
      <w:tblGrid>
        <w:gridCol w:w="466"/>
        <w:gridCol w:w="4990"/>
        <w:gridCol w:w="1352"/>
        <w:gridCol w:w="1352"/>
      </w:tblGrid>
      <w:tr w:rsidR="00580CB7" w:rsidRPr="00DF02CB" w:rsidTr="00580CB7">
        <w:trPr>
          <w:trHeight w:val="900"/>
          <w:tblCellSpacing w:w="0" w:type="dxa"/>
          <w:jc w:val="center"/>
        </w:trPr>
        <w:tc>
          <w:tcPr>
            <w:tcW w:w="525"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lastRenderedPageBreak/>
              <w:t>2</w:t>
            </w:r>
          </w:p>
        </w:tc>
        <w:tc>
          <w:tcPr>
            <w:tcW w:w="4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....................................Tarih......................................</w:t>
            </w:r>
          </w:p>
          <w:p w:rsidR="00580CB7" w:rsidRPr="00DF02CB" w:rsidRDefault="00580CB7" w:rsidP="00580CB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770 Genel Yönetim Gideri Hesabı</w:t>
            </w:r>
          </w:p>
          <w:p w:rsidR="00580CB7" w:rsidRPr="00DF02CB" w:rsidRDefault="00580CB7" w:rsidP="00580CB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257 Birikmiş Amortismanlar Hesabı</w:t>
            </w:r>
            <w:r w:rsidR="00045B46">
              <w:rPr>
                <w:rFonts w:ascii="Times New Roman" w:eastAsia="Times New Roman" w:hAnsi="Times New Roman" w:cs="Times New Roman"/>
                <w:color w:val="000000"/>
                <w:sz w:val="24"/>
                <w:szCs w:val="24"/>
                <w:lang w:eastAsia="tr-TR"/>
              </w:rPr>
              <w:t xml:space="preserve"> (-)</w:t>
            </w:r>
            <w:bookmarkStart w:id="0" w:name="_GoBack"/>
            <w:bookmarkEnd w:id="0"/>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xml:space="preserve">Demirbaşa </w:t>
            </w:r>
            <w:proofErr w:type="gramStart"/>
            <w:r w:rsidRPr="00DF02CB">
              <w:rPr>
                <w:rFonts w:ascii="Times New Roman" w:eastAsia="Times New Roman" w:hAnsi="Times New Roman" w:cs="Times New Roman"/>
                <w:color w:val="000000"/>
                <w:sz w:val="24"/>
                <w:szCs w:val="24"/>
                <w:lang w:eastAsia="tr-TR"/>
              </w:rPr>
              <w:t>amortisman</w:t>
            </w:r>
            <w:proofErr w:type="gramEnd"/>
            <w:r w:rsidRPr="00DF02CB">
              <w:rPr>
                <w:rFonts w:ascii="Times New Roman" w:eastAsia="Times New Roman" w:hAnsi="Times New Roman" w:cs="Times New Roman"/>
                <w:color w:val="000000"/>
                <w:sz w:val="24"/>
                <w:szCs w:val="24"/>
                <w:lang w:eastAsia="tr-TR"/>
              </w:rPr>
              <w:t xml:space="preserve"> ayrılması</w:t>
            </w:r>
          </w:p>
        </w:tc>
        <w:tc>
          <w:tcPr>
            <w:tcW w:w="1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4.000</w:t>
            </w:r>
          </w:p>
        </w:tc>
        <w:tc>
          <w:tcPr>
            <w:tcW w:w="1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4.000</w:t>
            </w:r>
          </w:p>
        </w:tc>
      </w:tr>
    </w:tbl>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br/>
        <w:t>Maddi Duran Varlıkların Satılmasında Amortisman: </w:t>
      </w:r>
      <w:r w:rsidRPr="00DF02CB">
        <w:rPr>
          <w:rFonts w:ascii="Times New Roman" w:eastAsia="Times New Roman" w:hAnsi="Times New Roman" w:cs="Times New Roman"/>
          <w:color w:val="000000"/>
          <w:sz w:val="24"/>
          <w:szCs w:val="24"/>
          <w:lang w:eastAsia="tr-TR"/>
        </w:rPr>
        <w:t>Bu varlıklar satılırsa, maddi duran varlığa ilişkin birikmiş amortisman hesabıda kapatılır. Varlığın satışından kâr elde edilirse </w:t>
      </w:r>
      <w:r w:rsidRPr="00DF02CB">
        <w:rPr>
          <w:rFonts w:ascii="Times New Roman" w:eastAsia="Times New Roman" w:hAnsi="Times New Roman" w:cs="Times New Roman"/>
          <w:b/>
          <w:bCs/>
          <w:color w:val="000000"/>
          <w:sz w:val="24"/>
          <w:szCs w:val="24"/>
          <w:lang w:eastAsia="tr-TR"/>
        </w:rPr>
        <w:t>679 Diğer Olağandışı Gelir ve Karlar Hesabı</w:t>
      </w:r>
      <w:r w:rsidRPr="00DF02CB">
        <w:rPr>
          <w:rFonts w:ascii="Times New Roman" w:eastAsia="Times New Roman" w:hAnsi="Times New Roman" w:cs="Times New Roman"/>
          <w:color w:val="000000"/>
          <w:sz w:val="24"/>
          <w:szCs w:val="24"/>
          <w:lang w:eastAsia="tr-TR"/>
        </w:rPr>
        <w:t>na alacak olarak kaydedilir, zarar meydana gelirse ise </w:t>
      </w:r>
      <w:r w:rsidRPr="00DF02CB">
        <w:rPr>
          <w:rFonts w:ascii="Times New Roman" w:eastAsia="Times New Roman" w:hAnsi="Times New Roman" w:cs="Times New Roman"/>
          <w:b/>
          <w:bCs/>
          <w:color w:val="000000"/>
          <w:sz w:val="24"/>
          <w:szCs w:val="24"/>
          <w:lang w:eastAsia="tr-TR"/>
        </w:rPr>
        <w:t>689 Diğer Olağandışı Gider ve Zararlar Hesabı</w:t>
      </w:r>
      <w:r w:rsidRPr="00DF02CB">
        <w:rPr>
          <w:rFonts w:ascii="Times New Roman" w:eastAsia="Times New Roman" w:hAnsi="Times New Roman" w:cs="Times New Roman"/>
          <w:color w:val="000000"/>
          <w:sz w:val="24"/>
          <w:szCs w:val="24"/>
          <w:lang w:eastAsia="tr-TR"/>
        </w:rPr>
        <w:t>na borç olarak kaydedilir.</w:t>
      </w:r>
    </w:p>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Örneğin devamı: </w:t>
      </w:r>
      <w:r w:rsidRPr="00DF02CB">
        <w:rPr>
          <w:rFonts w:ascii="Times New Roman" w:eastAsia="Times New Roman" w:hAnsi="Times New Roman" w:cs="Times New Roman"/>
          <w:color w:val="000000"/>
          <w:sz w:val="24"/>
          <w:szCs w:val="24"/>
          <w:lang w:eastAsia="tr-TR"/>
        </w:rPr>
        <w:t>İşletme ertesi yıl aldığı demirbaşı 7.500 TL ye satıyor. KDV % 18 hariç.</w:t>
      </w:r>
    </w:p>
    <w:tbl>
      <w:tblPr>
        <w:tblW w:w="8160" w:type="dxa"/>
        <w:jc w:val="center"/>
        <w:tblCellSpacing w:w="0" w:type="dxa"/>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firstRow="1" w:lastRow="0" w:firstColumn="1" w:lastColumn="0" w:noHBand="0" w:noVBand="1"/>
        <w:tblCaption w:val="Yevmiye maddesi"/>
      </w:tblPr>
      <w:tblGrid>
        <w:gridCol w:w="458"/>
        <w:gridCol w:w="4990"/>
        <w:gridCol w:w="1356"/>
        <w:gridCol w:w="1356"/>
      </w:tblGrid>
      <w:tr w:rsidR="00580CB7" w:rsidRPr="00DF02CB" w:rsidTr="00580CB7">
        <w:trPr>
          <w:trHeight w:val="900"/>
          <w:tblCellSpacing w:w="0" w:type="dxa"/>
          <w:jc w:val="center"/>
        </w:trPr>
        <w:tc>
          <w:tcPr>
            <w:tcW w:w="525"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after="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1</w:t>
            </w:r>
          </w:p>
        </w:tc>
        <w:tc>
          <w:tcPr>
            <w:tcW w:w="4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....................................Tarih......................................</w:t>
            </w:r>
          </w:p>
          <w:p w:rsidR="00580CB7" w:rsidRPr="00DF02CB" w:rsidRDefault="00580CB7" w:rsidP="00580CB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100 Kasa Hesabı</w:t>
            </w:r>
            <w:r w:rsidRPr="00DF02CB">
              <w:rPr>
                <w:rFonts w:ascii="Times New Roman" w:eastAsia="Times New Roman" w:hAnsi="Times New Roman" w:cs="Times New Roman"/>
                <w:color w:val="000000"/>
                <w:sz w:val="24"/>
                <w:szCs w:val="24"/>
                <w:lang w:eastAsia="tr-TR"/>
              </w:rPr>
              <w:br/>
              <w:t>257 Birikmiş Amortismanlar Hesabı</w:t>
            </w:r>
          </w:p>
          <w:p w:rsidR="00580CB7" w:rsidRPr="00DF02CB" w:rsidRDefault="00580CB7" w:rsidP="00580CB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255 Demirbaşlar Hesabı</w:t>
            </w:r>
            <w:r w:rsidRPr="00DF02CB">
              <w:rPr>
                <w:rFonts w:ascii="Times New Roman" w:eastAsia="Times New Roman" w:hAnsi="Times New Roman" w:cs="Times New Roman"/>
                <w:color w:val="000000"/>
                <w:sz w:val="24"/>
                <w:szCs w:val="24"/>
                <w:lang w:eastAsia="tr-TR"/>
              </w:rPr>
              <w:br/>
              <w:t>391 Hesaplanan KDV Hesabı</w:t>
            </w:r>
            <w:r w:rsidRPr="00DF02CB">
              <w:rPr>
                <w:rFonts w:ascii="Times New Roman" w:eastAsia="Times New Roman" w:hAnsi="Times New Roman" w:cs="Times New Roman"/>
                <w:color w:val="000000"/>
                <w:sz w:val="24"/>
                <w:szCs w:val="24"/>
                <w:lang w:eastAsia="tr-TR"/>
              </w:rPr>
              <w:br/>
              <w:t>679 Diğer Olağandışı Gelir ve Karlar Hs</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Demirbaşın satılması</w:t>
            </w:r>
          </w:p>
        </w:tc>
        <w:tc>
          <w:tcPr>
            <w:tcW w:w="1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w:t>
            </w:r>
          </w:p>
          <w:p w:rsidR="00580CB7" w:rsidRPr="00DF02CB" w:rsidRDefault="00580CB7" w:rsidP="00580CB7">
            <w:pPr>
              <w:spacing w:before="100" w:beforeAutospacing="1" w:after="240"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8.850*</w:t>
            </w:r>
            <w:r w:rsidRPr="00DF02CB">
              <w:rPr>
                <w:rFonts w:ascii="Times New Roman" w:eastAsia="Times New Roman" w:hAnsi="Times New Roman" w:cs="Times New Roman"/>
                <w:color w:val="000000"/>
                <w:sz w:val="24"/>
                <w:szCs w:val="24"/>
                <w:lang w:eastAsia="tr-TR"/>
              </w:rPr>
              <w:br/>
              <w:t>4.000 </w:t>
            </w:r>
          </w:p>
        </w:tc>
        <w:tc>
          <w:tcPr>
            <w:tcW w:w="1500" w:type="dxa"/>
            <w:tcBorders>
              <w:top w:val="outset" w:sz="6" w:space="0" w:color="999999"/>
              <w:left w:val="outset" w:sz="6" w:space="0" w:color="999999"/>
              <w:bottom w:val="outset" w:sz="6" w:space="0" w:color="999999"/>
              <w:right w:val="outset" w:sz="6" w:space="0" w:color="999999"/>
            </w:tcBorders>
            <w:shd w:val="clear" w:color="auto" w:fill="FFFFFF"/>
            <w:hideMark/>
          </w:tcPr>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t> </w:t>
            </w:r>
          </w:p>
          <w:p w:rsidR="00580CB7" w:rsidRPr="00DF02CB" w:rsidRDefault="00580CB7" w:rsidP="00580CB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color w:val="000000"/>
                <w:sz w:val="24"/>
                <w:szCs w:val="24"/>
                <w:lang w:eastAsia="tr-TR"/>
              </w:rPr>
              <w:br/>
              <w:t>10.000</w:t>
            </w:r>
            <w:r w:rsidRPr="00DF02CB">
              <w:rPr>
                <w:rFonts w:ascii="Times New Roman" w:eastAsia="Times New Roman" w:hAnsi="Times New Roman" w:cs="Times New Roman"/>
                <w:color w:val="000000"/>
                <w:sz w:val="24"/>
                <w:szCs w:val="24"/>
                <w:lang w:eastAsia="tr-TR"/>
              </w:rPr>
              <w:br/>
              <w:t>1.350*</w:t>
            </w:r>
            <w:r w:rsidRPr="00DF02CB">
              <w:rPr>
                <w:rFonts w:ascii="Times New Roman" w:eastAsia="Times New Roman" w:hAnsi="Times New Roman" w:cs="Times New Roman"/>
                <w:color w:val="000000"/>
                <w:sz w:val="24"/>
                <w:szCs w:val="24"/>
                <w:lang w:eastAsia="tr-TR"/>
              </w:rPr>
              <w:br/>
              <w:t>1.500</w:t>
            </w:r>
          </w:p>
        </w:tc>
      </w:tr>
    </w:tbl>
    <w:p w:rsidR="00580CB7" w:rsidRPr="00DF02CB" w:rsidRDefault="00580CB7" w:rsidP="00580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F02CB">
        <w:rPr>
          <w:rFonts w:ascii="Times New Roman" w:eastAsia="Times New Roman" w:hAnsi="Times New Roman" w:cs="Times New Roman"/>
          <w:b/>
          <w:bCs/>
          <w:color w:val="000000"/>
          <w:sz w:val="24"/>
          <w:szCs w:val="24"/>
          <w:lang w:eastAsia="tr-TR"/>
        </w:rPr>
        <w:t>* </w:t>
      </w:r>
      <w:r w:rsidRPr="00DF02CB">
        <w:rPr>
          <w:rFonts w:ascii="Times New Roman" w:eastAsia="Times New Roman" w:hAnsi="Times New Roman" w:cs="Times New Roman"/>
          <w:color w:val="000000"/>
          <w:sz w:val="24"/>
          <w:szCs w:val="24"/>
          <w:lang w:eastAsia="tr-TR"/>
        </w:rPr>
        <w:t>7.500 x %18 = 1.350</w:t>
      </w:r>
      <w:r w:rsidRPr="00DF02CB">
        <w:rPr>
          <w:rFonts w:ascii="Times New Roman" w:eastAsia="Times New Roman" w:hAnsi="Times New Roman" w:cs="Times New Roman"/>
          <w:b/>
          <w:bCs/>
          <w:color w:val="000000"/>
          <w:sz w:val="24"/>
          <w:szCs w:val="24"/>
          <w:lang w:eastAsia="tr-TR"/>
        </w:rPr>
        <w:br/>
        <w:t>*</w:t>
      </w:r>
      <w:r w:rsidRPr="00DF02CB">
        <w:rPr>
          <w:rFonts w:ascii="Times New Roman" w:eastAsia="Times New Roman" w:hAnsi="Times New Roman" w:cs="Times New Roman"/>
          <w:color w:val="000000"/>
          <w:sz w:val="24"/>
          <w:szCs w:val="24"/>
          <w:lang w:eastAsia="tr-TR"/>
        </w:rPr>
        <w:t> 7.500 + 1.350 = 8.850</w:t>
      </w:r>
    </w:p>
    <w:p w:rsidR="00580CB7" w:rsidRPr="00DF02CB" w:rsidRDefault="00580CB7">
      <w:pPr>
        <w:rPr>
          <w:rFonts w:ascii="Times New Roman" w:hAnsi="Times New Roman" w:cs="Times New Roman"/>
          <w:sz w:val="24"/>
          <w:szCs w:val="24"/>
        </w:rPr>
      </w:pPr>
    </w:p>
    <w:sectPr w:rsidR="00580CB7" w:rsidRPr="00DF0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B7"/>
    <w:rsid w:val="00045B46"/>
    <w:rsid w:val="004231F6"/>
    <w:rsid w:val="00580CB7"/>
    <w:rsid w:val="00DF02CB"/>
    <w:rsid w:val="00F26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0C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0C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0C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0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73288">
      <w:bodyDiv w:val="1"/>
      <w:marLeft w:val="0"/>
      <w:marRight w:val="0"/>
      <w:marTop w:val="0"/>
      <w:marBottom w:val="0"/>
      <w:divBdr>
        <w:top w:val="none" w:sz="0" w:space="0" w:color="auto"/>
        <w:left w:val="none" w:sz="0" w:space="0" w:color="auto"/>
        <w:bottom w:val="none" w:sz="0" w:space="0" w:color="auto"/>
        <w:right w:val="none" w:sz="0" w:space="0" w:color="auto"/>
      </w:divBdr>
      <w:divsChild>
        <w:div w:id="36583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445988">
      <w:bodyDiv w:val="1"/>
      <w:marLeft w:val="0"/>
      <w:marRight w:val="0"/>
      <w:marTop w:val="0"/>
      <w:marBottom w:val="0"/>
      <w:divBdr>
        <w:top w:val="none" w:sz="0" w:space="0" w:color="auto"/>
        <w:left w:val="none" w:sz="0" w:space="0" w:color="auto"/>
        <w:bottom w:val="none" w:sz="0" w:space="0" w:color="auto"/>
        <w:right w:val="none" w:sz="0" w:space="0" w:color="auto"/>
      </w:divBdr>
      <w:divsChild>
        <w:div w:id="1952472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32007">
          <w:blockQuote w:val="1"/>
          <w:marLeft w:val="720"/>
          <w:marRight w:val="720"/>
          <w:marTop w:val="100"/>
          <w:marBottom w:val="100"/>
          <w:divBdr>
            <w:top w:val="none" w:sz="0" w:space="0" w:color="auto"/>
            <w:left w:val="none" w:sz="0" w:space="0" w:color="auto"/>
            <w:bottom w:val="none" w:sz="0" w:space="0" w:color="auto"/>
            <w:right w:val="none" w:sz="0" w:space="0" w:color="auto"/>
          </w:divBdr>
        </w:div>
        <w:div w:id="75396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780</Words>
  <Characters>4450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DEMİRAL S.M.M.M.</dc:creator>
  <cp:keywords/>
  <dc:description/>
  <cp:lastModifiedBy>dmrl</cp:lastModifiedBy>
  <cp:revision>6</cp:revision>
  <dcterms:created xsi:type="dcterms:W3CDTF">2017-09-24T08:28:00Z</dcterms:created>
  <dcterms:modified xsi:type="dcterms:W3CDTF">2019-09-29T15:53:00Z</dcterms:modified>
</cp:coreProperties>
</file>