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8D" w:rsidRDefault="008E228D" w:rsidP="008E228D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>GENEL MUHASEBE YAZILI HAZIRLIK SORULARI</w:t>
      </w:r>
    </w:p>
    <w:p w:rsidR="008E228D" w:rsidRDefault="008E228D" w:rsidP="008E228D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proofErr w:type="spellStart"/>
      <w:r>
        <w:rPr>
          <w:rFonts w:ascii="Comic Sans MS" w:hAnsi="Comic Sans MS"/>
          <w:color w:val="000000"/>
          <w:sz w:val="18"/>
          <w:szCs w:val="18"/>
        </w:rPr>
        <w:t>Genel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muhasebe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soruları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ve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cevapları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sınavlara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hazırlanan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öğrenciler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için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örnek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olması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amacıyla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hazırlanmıştır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Genel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muhasebe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dersinde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önemli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konular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ön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planda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tutularak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bu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çalışma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soruları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oluşturulmuştur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>. 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  <w:u w:val="single"/>
        </w:rPr>
        <w:t>Konular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  <w:u w:val="single"/>
        </w:rPr>
        <w:t>:</w:t>
      </w:r>
      <w:r>
        <w:rPr>
          <w:rFonts w:ascii="Comic Sans MS" w:hAnsi="Comic Sans MS"/>
          <w:color w:val="000000"/>
          <w:sz w:val="18"/>
          <w:szCs w:val="18"/>
        </w:rPr>
        <w:t> 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bilanço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yevmiye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defteri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ve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büyük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defter.</w:t>
      </w:r>
    </w:p>
    <w:tbl>
      <w:tblPr>
        <w:tblW w:w="110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75"/>
        <w:gridCol w:w="3675"/>
      </w:tblGrid>
      <w:tr w:rsidR="008E228D" w:rsidRPr="008E228D" w:rsidTr="008E228D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Soru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1: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Yapı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Anonim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Şirketi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01.01.2010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tarihinde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kuruluyor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Şirketin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dönen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varlıkları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toplamı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: 65.000 TL,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duran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varlıkları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toplamı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: 120.000 TL,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kısa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vadeli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yabancı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kaynakları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toplamı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: 50.000 TL,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uzun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vadeli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yabancı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kaynakları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toplamı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: 100.000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TL’dir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 Öz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kaynaklar</w:t>
            </w:r>
            <w:proofErr w:type="spellEnd"/>
            <w:proofErr w:type="gram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 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sermayeden</w:t>
            </w:r>
            <w:proofErr w:type="spellEnd"/>
            <w:proofErr w:type="gram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oluştuğuna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açılış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bilançosunu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düzenleyeniz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ve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sermayeyi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bulunuz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Cevap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1: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Bilanço "/>
            </w:tblPr>
            <w:tblGrid>
              <w:gridCol w:w="1479"/>
              <w:gridCol w:w="3188"/>
              <w:gridCol w:w="3341"/>
              <w:gridCol w:w="992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145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AKTİF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YAPI A.Ş. 01.01.2010 TARİHLİ AÇILIŞ BİLANÇOSU</w:t>
                  </w:r>
                </w:p>
              </w:tc>
              <w:tc>
                <w:tcPr>
                  <w:tcW w:w="9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PASİF</w:t>
                  </w:r>
                </w:p>
              </w:tc>
            </w:tr>
            <w:tr w:rsidR="008E228D" w:rsidRPr="008E228D">
              <w:trPr>
                <w:trHeight w:val="19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I. DÖNEN VARLIKLAR                                 65.000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II. DURAN VARLIKLAR                               120.000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III. KISA VADELİ YAB. KAY.                  50.000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IV. UZUN VADELİ YAB. KAY.                 100.000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V. ÖZ KAYNAKLAR                             </w:t>
                  </w: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   35.000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Sermaye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 35.000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AKTİF TOPLAM</w:t>
                  </w:r>
                </w:p>
              </w:tc>
              <w:tc>
                <w:tcPr>
                  <w:tcW w:w="31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185.000 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PASİF TOPLAM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185.000 </w:t>
                  </w:r>
                </w:p>
              </w:tc>
            </w:tr>
          </w:tbl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Soru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2: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Aksal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Anonim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Şirketi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01.06.2010 </w:t>
            </w:r>
            <w:proofErr w:type="spellStart"/>
            <w:proofErr w:type="gram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tarihinde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 50.000</w:t>
            </w:r>
            <w:proofErr w:type="gram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TL 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kuruluyor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 Bu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sermayenin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12.000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kamyonet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, 7.000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, 20.000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kalan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paranın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yarısını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kasaya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diğer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yarısını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da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bankaya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koyuyor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  Buna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göre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şirketin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açılış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bilançosunu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düzenleyiniz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Cevap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2:</w:t>
            </w: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Bilanço "/>
            </w:tblPr>
            <w:tblGrid>
              <w:gridCol w:w="1479"/>
              <w:gridCol w:w="3188"/>
              <w:gridCol w:w="3341"/>
              <w:gridCol w:w="992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145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AKTİF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AKSAL A.Ş. 01.06.2010 TARİHLİ AÇILIŞ BİLANÇOSU</w:t>
                  </w:r>
                </w:p>
              </w:tc>
              <w:tc>
                <w:tcPr>
                  <w:tcW w:w="97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PASİF</w:t>
                  </w:r>
                </w:p>
              </w:tc>
            </w:tr>
            <w:tr w:rsidR="008E228D" w:rsidRPr="008E228D">
              <w:trPr>
                <w:trHeight w:val="19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I. DÖNEN VARLIKLAR                          </w:t>
                  </w: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    31.000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Kasa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5.500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Bankalar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5.500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Ticari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Mallar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20.000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II. DURAN VARLIKLAR                                19.000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Taşıtlar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12.000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Demirbaşlar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7.000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III. KISA VADELİ YAB. KAY.                    -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IV. UZUN VADELİ YAB. KAY.                    -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V. ÖZ KAYNAKLAR                                 50.000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Sermaye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50.000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AKTİF TOPLAM</w:t>
                  </w:r>
                </w:p>
              </w:tc>
              <w:tc>
                <w:tcPr>
                  <w:tcW w:w="31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50.000 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PASİF TOPLAM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50.000 </w:t>
                  </w:r>
                </w:p>
              </w:tc>
            </w:tr>
          </w:tbl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Soru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3: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Yıldız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Ticaret Limited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Şirketi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01.10.2010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tarihinde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aşağıdaki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varlık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ve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kaynaklarla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işe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başlıyor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100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                      : 80.000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102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bankalar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                 : 20.000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103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verilen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çekler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(-)                : 30.000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153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                     : 60.000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220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alıcılar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                  : 20.000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255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            : 40.000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300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        : 60.000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400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             : 70.000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421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                   : 40.000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500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                           :     ?</w:t>
            </w:r>
          </w:p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İşletme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kurulduktan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sonra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aşağıdaki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işlemleri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yapmıştır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Demirbaşların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yarısını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nakit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olarak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satmıştır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5.000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lik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almıştır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Parasını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bankadan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ödemiştir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Kısa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vadeli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</w:t>
            </w:r>
            <w:proofErr w:type="spellEnd"/>
            <w:proofErr w:type="gram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kredilerinin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hepsini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nakit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olarak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ödemiştir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senetlerinin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15.000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lik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kısmını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bankadaki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parasından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ödemiştir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10.000 TL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lik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mal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satmıştır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Karşılığında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çek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almıştır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İstenen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: 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-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Yevmiye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defterinde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açılış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yapınız</w:t>
            </w:r>
            <w:proofErr w:type="spellEnd"/>
            <w:proofErr w:type="gram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,</w:t>
            </w:r>
            <w:proofErr w:type="gram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-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Büyük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defter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hesaplarını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açınız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,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-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işlemlerin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muhasebe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kayıtlarını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yapınız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8E228D" w:rsidRPr="008E228D" w:rsidRDefault="008E228D" w:rsidP="008E228D">
            <w:pPr>
              <w:spacing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Cevap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3: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Yevmiye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Defteri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Yevmiye maddesi açılış kaydı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525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Mad. No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AÇIKLAMA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....................................01.10.2010......................................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kasa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102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153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ticari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mallar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220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alıcılar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255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demirbaşlar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103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verilen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çekler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(-)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300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kredileri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400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kredileri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 xml:space="preserve">421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senetleri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500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sermaye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Açılış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Kaydının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Düzenlenmesi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80.000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20.000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60.000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20.000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40.000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30.000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60.000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70.000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40.000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b/>
                      <w:bCs/>
                      <w:sz w:val="18"/>
                      <w:szCs w:val="18"/>
                      <w:lang w:eastAsia="en-GB"/>
                    </w:rPr>
                    <w:t>20.000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..................................../......................................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kasa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255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demirbaşlar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Demirbaşların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yarısının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nakit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satılması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20.000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20.000 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..................................../......................................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153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ticari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mallar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102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Ticari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mal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alımı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5.000 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..................................../......................................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300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kredileri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100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kasa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Kısa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vadeli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kredilerinin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nakit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ödenmesi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60.000 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..................................../......................................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421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senetleri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102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bankalar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senetlerinin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bir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kısmının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ödenmesi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15.000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15.000 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816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576"/>
              <w:gridCol w:w="1525"/>
              <w:gridCol w:w="1525"/>
            </w:tblGrid>
            <w:tr w:rsidR="008E228D" w:rsidRPr="008E228D">
              <w:trPr>
                <w:trHeight w:val="900"/>
                <w:tblCellSpacing w:w="0" w:type="dxa"/>
                <w:jc w:val="center"/>
              </w:trPr>
              <w:tc>
                <w:tcPr>
                  <w:tcW w:w="52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..................................../......................................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101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Alınan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çekler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600 Yurt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içi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satışlar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hesabı</w:t>
                  </w:r>
                  <w:proofErr w:type="spellEnd"/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............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Çek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karşılığı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 xml:space="preserve"> mal </w:t>
                  </w:r>
                  <w:proofErr w:type="spellStart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satımı</w:t>
                  </w:r>
                  <w:proofErr w:type="spellEnd"/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.........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10.000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  <w:p w:rsidR="008E228D" w:rsidRPr="008E228D" w:rsidRDefault="008E228D" w:rsidP="008E228D">
                  <w:pPr>
                    <w:spacing w:before="100" w:beforeAutospacing="1" w:after="24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10.000 </w:t>
                  </w:r>
                </w:p>
              </w:tc>
            </w:tr>
          </w:tbl>
          <w:p w:rsidR="008E228D" w:rsidRPr="008E228D" w:rsidRDefault="008E228D" w:rsidP="008E228D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Büyük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Defterler</w:t>
            </w:r>
            <w:proofErr w:type="spellEnd"/>
            <w:r w:rsidRPr="008E228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: </w:t>
            </w:r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Büyük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defter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kayıtlarının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yanında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parantez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içinde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tutarın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hangi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yevmiye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maddesine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ait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olduğu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belirtilmiştir</w:t>
            </w:r>
            <w:proofErr w:type="spellEnd"/>
            <w:r w:rsidRPr="008E228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8E228D" w:rsidRPr="008E228D" w:rsidTr="008E228D">
        <w:trPr>
          <w:tblCellSpacing w:w="0" w:type="dxa"/>
          <w:jc w:val="center"/>
        </w:trPr>
        <w:tc>
          <w:tcPr>
            <w:tcW w:w="11325" w:type="dxa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100 KASA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80.000 (1)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20.000 (2)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60.000 (4)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220 ALICILAR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20.000 (1)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300 BANKA KRED.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60.000 (4)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60.000 (1)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500 SERMAYE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20.000 (1)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25" w:type="dxa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102 BANKALAR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20.000 (1)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5.000 (3)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15.000 (5)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255 DEMİRBAŞ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40.000 (1)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20.000 (2)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400 BANKA KRED.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70.000 (1)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101 ALINAN ÇEK.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10.000 (6)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25" w:type="dxa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153 TİCARİ MAL.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60.000 (1)</w:t>
                  </w: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br/>
                    <w:t>5.000 (3)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103 VER.ÇEKLER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30.000 (1)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421 BORÇ SENET.HESABI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15.000 (5)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40.000 (1)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30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57"/>
              <w:gridCol w:w="757"/>
              <w:gridCol w:w="750"/>
            </w:tblGrid>
            <w:tr w:rsidR="008E228D" w:rsidRPr="008E228D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600 YURT İÇİ SATIŞ.HESABI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ALACAK</w:t>
                  </w:r>
                </w:p>
              </w:tc>
            </w:tr>
            <w:tr w:rsidR="008E228D" w:rsidRPr="008E228D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10.000 (6)</w:t>
                  </w:r>
                </w:p>
              </w:tc>
            </w:tr>
            <w:tr w:rsidR="008E228D" w:rsidRPr="008E228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8E228D" w:rsidRPr="008E228D" w:rsidRDefault="008E228D" w:rsidP="008E228D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</w:pPr>
                  <w:r w:rsidRPr="008E228D">
                    <w:rPr>
                      <w:rFonts w:ascii="Comic Sans MS" w:eastAsia="Times New Roman" w:hAnsi="Comic Sans MS" w:cs="Times New Roman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E228D" w:rsidRPr="008E228D" w:rsidRDefault="008E228D" w:rsidP="008E228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471F55" w:rsidRDefault="008E228D">
      <w:bookmarkStart w:id="0" w:name="_GoBack"/>
      <w:bookmarkEnd w:id="0"/>
    </w:p>
    <w:sectPr w:rsidR="0047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0328"/>
    <w:multiLevelType w:val="multilevel"/>
    <w:tmpl w:val="8960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D"/>
    <w:rsid w:val="0004505C"/>
    <w:rsid w:val="001C1CF8"/>
    <w:rsid w:val="008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91F6-6132-4361-A140-1C9E5DD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8E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2017-09-27T05:17:00Z</dcterms:created>
  <dcterms:modified xsi:type="dcterms:W3CDTF">2017-09-27T05:18:00Z</dcterms:modified>
</cp:coreProperties>
</file>