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7E" w:rsidRPr="004C31B0" w:rsidRDefault="001C407E" w:rsidP="001C407E">
      <w:pPr>
        <w:pStyle w:val="NormalWeb"/>
        <w:shd w:val="clear" w:color="auto" w:fill="FFFFFF"/>
        <w:rPr>
          <w:color w:val="000000"/>
        </w:rPr>
      </w:pPr>
      <w:r w:rsidRPr="004C31B0">
        <w:rPr>
          <w:rStyle w:val="Strong"/>
          <w:color w:val="000000"/>
        </w:rPr>
        <w:t>BİLANÇO - YEVMİYE DEFTERİ - BÜYÜK DEFTER İLİŞKİSİ (</w:t>
      </w:r>
      <w:proofErr w:type="spellStart"/>
      <w:r w:rsidRPr="004C31B0">
        <w:rPr>
          <w:rStyle w:val="Strong"/>
          <w:color w:val="000000"/>
        </w:rPr>
        <w:t>Örnek</w:t>
      </w:r>
      <w:proofErr w:type="spellEnd"/>
      <w:r w:rsidRPr="004C31B0">
        <w:rPr>
          <w:rStyle w:val="Strong"/>
          <w:color w:val="000000"/>
        </w:rPr>
        <w:t>)</w:t>
      </w:r>
    </w:p>
    <w:p w:rsidR="001C407E" w:rsidRPr="004C31B0" w:rsidRDefault="001C407E" w:rsidP="001C407E">
      <w:pPr>
        <w:pStyle w:val="NormalWeb"/>
        <w:shd w:val="clear" w:color="auto" w:fill="FFFFFF"/>
        <w:rPr>
          <w:color w:val="000000"/>
        </w:rPr>
      </w:pPr>
      <w:proofErr w:type="spellStart"/>
      <w:r w:rsidRPr="004C31B0">
        <w:rPr>
          <w:color w:val="000000"/>
        </w:rPr>
        <w:t>Muhasebenin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kaydetme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aşamasında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açılış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bilançosu</w:t>
      </w:r>
      <w:proofErr w:type="spellEnd"/>
      <w:r w:rsidRPr="004C31B0">
        <w:rPr>
          <w:color w:val="000000"/>
        </w:rPr>
        <w:t xml:space="preserve">, </w:t>
      </w:r>
      <w:proofErr w:type="spellStart"/>
      <w:r w:rsidRPr="004C31B0">
        <w:rPr>
          <w:color w:val="000000"/>
        </w:rPr>
        <w:t>yevmiye</w:t>
      </w:r>
      <w:proofErr w:type="spellEnd"/>
      <w:r w:rsidRPr="004C31B0">
        <w:rPr>
          <w:color w:val="000000"/>
        </w:rPr>
        <w:t xml:space="preserve"> (</w:t>
      </w:r>
      <w:proofErr w:type="spellStart"/>
      <w:r w:rsidRPr="004C31B0">
        <w:rPr>
          <w:color w:val="000000"/>
        </w:rPr>
        <w:t>günlük</w:t>
      </w:r>
      <w:proofErr w:type="spellEnd"/>
      <w:r w:rsidRPr="004C31B0">
        <w:rPr>
          <w:color w:val="000000"/>
        </w:rPr>
        <w:t xml:space="preserve">) defter </w:t>
      </w:r>
      <w:proofErr w:type="spellStart"/>
      <w:r w:rsidRPr="004C31B0">
        <w:rPr>
          <w:color w:val="000000"/>
        </w:rPr>
        <w:t>ve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büyük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defterler</w:t>
      </w:r>
      <w:proofErr w:type="spellEnd"/>
      <w:r w:rsidRPr="004C31B0">
        <w:rPr>
          <w:color w:val="000000"/>
        </w:rPr>
        <w:t xml:space="preserve"> (</w:t>
      </w:r>
      <w:proofErr w:type="spellStart"/>
      <w:r w:rsidRPr="004C31B0">
        <w:rPr>
          <w:color w:val="000000"/>
        </w:rPr>
        <w:t>defteri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kebir</w:t>
      </w:r>
      <w:proofErr w:type="spellEnd"/>
      <w:r w:rsidRPr="004C31B0">
        <w:rPr>
          <w:color w:val="000000"/>
        </w:rPr>
        <w:t xml:space="preserve">) </w:t>
      </w:r>
      <w:proofErr w:type="spellStart"/>
      <w:r w:rsidRPr="004C31B0">
        <w:rPr>
          <w:color w:val="000000"/>
        </w:rPr>
        <w:t>düzenlenir</w:t>
      </w:r>
      <w:proofErr w:type="spellEnd"/>
      <w:r w:rsidRPr="004C31B0">
        <w:rPr>
          <w:color w:val="000000"/>
        </w:rPr>
        <w:t xml:space="preserve">. </w:t>
      </w:r>
      <w:proofErr w:type="spellStart"/>
      <w:r w:rsidRPr="004C31B0">
        <w:rPr>
          <w:color w:val="000000"/>
        </w:rPr>
        <w:t>İşletmelerin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değerleri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bu</w:t>
      </w:r>
      <w:proofErr w:type="spellEnd"/>
      <w:r w:rsidRPr="004C31B0">
        <w:rPr>
          <w:color w:val="000000"/>
        </w:rPr>
        <w:t xml:space="preserve"> defter </w:t>
      </w:r>
      <w:proofErr w:type="spellStart"/>
      <w:r w:rsidRPr="004C31B0">
        <w:rPr>
          <w:color w:val="000000"/>
        </w:rPr>
        <w:t>ve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belgelere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kaydedilir</w:t>
      </w:r>
      <w:proofErr w:type="spellEnd"/>
      <w:r w:rsidRPr="004C31B0">
        <w:rPr>
          <w:color w:val="000000"/>
        </w:rPr>
        <w:t>.</w:t>
      </w:r>
    </w:p>
    <w:p w:rsidR="001C407E" w:rsidRPr="004C31B0" w:rsidRDefault="001C407E" w:rsidP="001C407E">
      <w:pPr>
        <w:pStyle w:val="NormalWeb"/>
        <w:shd w:val="clear" w:color="auto" w:fill="FFFFFF"/>
        <w:rPr>
          <w:color w:val="000000"/>
        </w:rPr>
      </w:pPr>
      <w:proofErr w:type="spellStart"/>
      <w:r w:rsidRPr="004C31B0">
        <w:rPr>
          <w:color w:val="000000"/>
        </w:rPr>
        <w:t>İşletmeler</w:t>
      </w:r>
      <w:proofErr w:type="spellEnd"/>
      <w:r w:rsidRPr="004C31B0">
        <w:rPr>
          <w:color w:val="000000"/>
        </w:rPr>
        <w:t xml:space="preserve"> ilk </w:t>
      </w:r>
      <w:proofErr w:type="spellStart"/>
      <w:r w:rsidRPr="004C31B0">
        <w:rPr>
          <w:color w:val="000000"/>
        </w:rPr>
        <w:t>kurulduklarında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belirli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bir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varlıkları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ve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bu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varlıkları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sağladığı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kaynakları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bulunur</w:t>
      </w:r>
      <w:proofErr w:type="spellEnd"/>
      <w:r w:rsidRPr="004C31B0">
        <w:rPr>
          <w:color w:val="000000"/>
        </w:rPr>
        <w:t xml:space="preserve">. Bu </w:t>
      </w:r>
      <w:proofErr w:type="spellStart"/>
      <w:r w:rsidRPr="004C31B0">
        <w:rPr>
          <w:color w:val="000000"/>
        </w:rPr>
        <w:t>varlık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ve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kaynaklar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açılış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bilançosunda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gösterilir</w:t>
      </w:r>
      <w:proofErr w:type="spellEnd"/>
      <w:r w:rsidRPr="004C31B0">
        <w:rPr>
          <w:color w:val="000000"/>
        </w:rPr>
        <w:t xml:space="preserve">. </w:t>
      </w:r>
      <w:proofErr w:type="spellStart"/>
      <w:r w:rsidRPr="004C31B0">
        <w:rPr>
          <w:color w:val="000000"/>
        </w:rPr>
        <w:t>Varlık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ve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kaynaklar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ilgili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hesaplara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dağıtılarak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yevmiye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def</w:t>
      </w:r>
      <w:bookmarkStart w:id="0" w:name="_GoBack"/>
      <w:bookmarkEnd w:id="0"/>
      <w:r w:rsidRPr="004C31B0">
        <w:rPr>
          <w:color w:val="000000"/>
        </w:rPr>
        <w:t>teri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ve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büyük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defterlerde</w:t>
      </w:r>
      <w:proofErr w:type="spellEnd"/>
      <w:r w:rsidRPr="004C31B0">
        <w:rPr>
          <w:color w:val="000000"/>
        </w:rPr>
        <w:t xml:space="preserve"> de </w:t>
      </w:r>
      <w:proofErr w:type="spellStart"/>
      <w:r w:rsidRPr="004C31B0">
        <w:rPr>
          <w:color w:val="000000"/>
        </w:rPr>
        <w:t>aynı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zamanda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kayıt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yapılır</w:t>
      </w:r>
      <w:proofErr w:type="spellEnd"/>
      <w:r w:rsidRPr="004C31B0">
        <w:rPr>
          <w:color w:val="000000"/>
        </w:rPr>
        <w:t xml:space="preserve">. </w:t>
      </w:r>
      <w:proofErr w:type="spellStart"/>
      <w:r w:rsidRPr="004C31B0">
        <w:rPr>
          <w:color w:val="000000"/>
        </w:rPr>
        <w:t>Bilanço</w:t>
      </w:r>
      <w:proofErr w:type="spellEnd"/>
      <w:r w:rsidRPr="004C31B0">
        <w:rPr>
          <w:color w:val="000000"/>
        </w:rPr>
        <w:t xml:space="preserve">, </w:t>
      </w:r>
      <w:proofErr w:type="spellStart"/>
      <w:r w:rsidRPr="004C31B0">
        <w:rPr>
          <w:color w:val="000000"/>
        </w:rPr>
        <w:t>yevmiye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defteri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ve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büyük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defterde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yapılan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kayıtlar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aslında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aynı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kayıtlardır</w:t>
      </w:r>
      <w:proofErr w:type="spellEnd"/>
      <w:r w:rsidRPr="004C31B0">
        <w:rPr>
          <w:color w:val="000000"/>
        </w:rPr>
        <w:t xml:space="preserve">. </w:t>
      </w:r>
      <w:proofErr w:type="spellStart"/>
      <w:r w:rsidRPr="004C31B0">
        <w:rPr>
          <w:color w:val="000000"/>
        </w:rPr>
        <w:t>Yani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bilanço</w:t>
      </w:r>
      <w:proofErr w:type="spellEnd"/>
      <w:r w:rsidRPr="004C31B0">
        <w:rPr>
          <w:color w:val="000000"/>
        </w:rPr>
        <w:t xml:space="preserve">, </w:t>
      </w:r>
      <w:proofErr w:type="spellStart"/>
      <w:r w:rsidRPr="004C31B0">
        <w:rPr>
          <w:color w:val="000000"/>
        </w:rPr>
        <w:t>yevmiye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defteri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ve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büyük</w:t>
      </w:r>
      <w:proofErr w:type="spellEnd"/>
      <w:r w:rsidRPr="004C31B0">
        <w:rPr>
          <w:color w:val="000000"/>
        </w:rPr>
        <w:t xml:space="preserve"> defter </w:t>
      </w:r>
      <w:proofErr w:type="spellStart"/>
      <w:r w:rsidRPr="004C31B0">
        <w:rPr>
          <w:color w:val="000000"/>
        </w:rPr>
        <w:t>arasında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aynı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nitelikte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bir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ilişki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bulunur</w:t>
      </w:r>
      <w:proofErr w:type="spellEnd"/>
      <w:r w:rsidRPr="004C31B0">
        <w:rPr>
          <w:color w:val="000000"/>
        </w:rPr>
        <w:t>.</w:t>
      </w:r>
    </w:p>
    <w:p w:rsidR="001C407E" w:rsidRPr="004C31B0" w:rsidRDefault="001C407E" w:rsidP="001C407E">
      <w:pPr>
        <w:pStyle w:val="NormalWeb"/>
        <w:shd w:val="clear" w:color="auto" w:fill="FFFFFF"/>
        <w:rPr>
          <w:color w:val="000000"/>
        </w:rPr>
      </w:pPr>
      <w:r w:rsidRPr="004C31B0">
        <w:rPr>
          <w:color w:val="000000"/>
        </w:rPr>
        <w:t xml:space="preserve">Bu </w:t>
      </w:r>
      <w:proofErr w:type="spellStart"/>
      <w:r w:rsidRPr="004C31B0">
        <w:rPr>
          <w:color w:val="000000"/>
        </w:rPr>
        <w:t>anlatılanları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şimdi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bir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örnek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çözerek</w:t>
      </w:r>
      <w:proofErr w:type="spellEnd"/>
      <w:r w:rsidRPr="004C31B0">
        <w:rPr>
          <w:color w:val="000000"/>
        </w:rPr>
        <w:t xml:space="preserve"> </w:t>
      </w:r>
      <w:proofErr w:type="spellStart"/>
      <w:r w:rsidRPr="004C31B0">
        <w:rPr>
          <w:color w:val="000000"/>
        </w:rPr>
        <w:t>açıklayalım</w:t>
      </w:r>
      <w:proofErr w:type="spellEnd"/>
      <w:r w:rsidRPr="004C31B0">
        <w:rPr>
          <w:color w:val="000000"/>
        </w:rPr>
        <w:t>:</w:t>
      </w:r>
    </w:p>
    <w:tbl>
      <w:tblPr>
        <w:tblW w:w="110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4"/>
        <w:gridCol w:w="11"/>
      </w:tblGrid>
      <w:tr w:rsidR="001C407E" w:rsidRPr="004C31B0" w:rsidTr="001C407E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Örnek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HG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işletmesi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01.10.2010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tarihinde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aşağıdaki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kaynaklarla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başlıyor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Bu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bilanço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yevmiye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defteri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büyük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defterlerde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kayıt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yapınız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İşletmenin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varlıkları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İşletmenin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kuruluşta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sahip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olduğu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tüm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değerleri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ifade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eder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Nakit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parası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12.000 TL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Banka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hesabındaki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parası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6.000 TL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Malları: 35.000 TL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Makine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cihazları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25.000 TL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Demirbaşları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40.000 TL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İşletmenin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kaynakları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İşletmenin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kuruluştaki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varlıklarını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sağladığı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yerleri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ifade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eder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Kısa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vadeli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banka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kredisi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30.000 TL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Kısa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vadeli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borç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senetleri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40.000 TL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Uzun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vadeli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satıcılar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28.000 TL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Sermaye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20.000 TL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Çözüm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1.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Aşama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İşletme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kuruluş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aşamasındaki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şunu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ifade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etmektedir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İşletmenin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12.000 TL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nakiti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6.000 TL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bankada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parası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35.000 TL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satmak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üzere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aldığı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ticari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25.000 TL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işletmede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kullanmak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üzere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aldığı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makine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cihazları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40.000 TL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işletmede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kullanmak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üzere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aldığı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demirbaşları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bulunmaktadır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Toplam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 </w:t>
            </w: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118.000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TL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varlığa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sahip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demektir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Toplam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118.000 TL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varlığın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sağlandığı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şöyledir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kısa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vadeli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yani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yılın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altında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ödeme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süresi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bulunan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banka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kredisi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30.000 TL,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kısa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vadeli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yani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yılın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altında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ödeme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süresi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bulunan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borç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senetleri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40.000 TL,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uzun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vadeli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yani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yılın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üzerinde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ödeme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süresi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bulunan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satıcılara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borcu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28.000 TL,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işletmenin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kendi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özkaynağı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olarak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sermayesi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20.000 TL dir.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Toplam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 </w:t>
            </w: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118.000 TL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kaynağı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bulunmaktadır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İşletmelerin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ne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kadar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varlığı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varsa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o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kadar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kaynağı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bulunmak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zorundadır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Başka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ifadeyle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ne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kadar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kaynağınız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varsa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kadar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alabilirsiniz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Yani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her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zaman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eşit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olmak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zorundadır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Buna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bilançonun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temel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denkliği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denir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Çözüm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Aşama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İşletmenin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sahip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olduğu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olduğu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gibi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kaydedemeyiz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Bunları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düzen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planındaki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bularak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kaydederiz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Bun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göre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Nakit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parası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12.000 TL = </w:t>
            </w: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100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kasa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hesabı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Banka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hesabındaki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parası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6.000 TL = </w:t>
            </w: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102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bankalar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hesabı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Malları: 35.000 TL = </w:t>
            </w: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153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ticari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mallar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hesabı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Makine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cihazları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25.000 TL = </w:t>
            </w: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253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tesis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makine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cihazlar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hesabı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Demirbaşları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40.000 TL = </w:t>
            </w: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255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demirbaşlar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hesabı</w:t>
            </w:r>
            <w:proofErr w:type="spellEnd"/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Kısa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vadeli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banka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kredisi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30.000 TL = </w:t>
            </w: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300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banka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kredileri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hesabı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Kısa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vadeli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borç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senetleri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40.000 TL = </w:t>
            </w: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321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borç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senetleri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hesabı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Uzun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vadeli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satıcılar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28.000 TL = </w:t>
            </w: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420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satıcılar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hesabı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Sermaye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20.000 TL = </w:t>
            </w: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500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sermaye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hesabı</w:t>
            </w:r>
            <w:proofErr w:type="spellEnd"/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Dikkat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edilirse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hesaplarının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kodu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devamlı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başlar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hesaplarının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kodu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da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devamlı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3, 4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başlar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Çözüm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3.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Aşama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ilgili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yerleştirdikten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sonra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açılış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bilançosu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düzenlenir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Açılış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bilançosunda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aktif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tarafta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pasif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tarafta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Her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bilançoda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ilgili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yere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kaydedilir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 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1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başlayan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1.Dönen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grubuna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yazılır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2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başlayan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2.Duran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grubuna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yazılır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3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başlayan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3.Kısa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Vadeli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Yabancı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grubuna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yazılır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4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başlayan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4.Uzun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Vadeli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Yabancı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grubuna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yazılır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5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başlayan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5.Öz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grubuna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yazılır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Bilanço "/>
            </w:tblPr>
            <w:tblGrid>
              <w:gridCol w:w="1784"/>
              <w:gridCol w:w="2993"/>
              <w:gridCol w:w="3513"/>
              <w:gridCol w:w="1457"/>
            </w:tblGrid>
            <w:tr w:rsidR="001C407E" w:rsidRPr="004C31B0">
              <w:trPr>
                <w:trHeight w:val="255"/>
                <w:tblCellSpacing w:w="0" w:type="dxa"/>
                <w:jc w:val="center"/>
              </w:trPr>
              <w:tc>
                <w:tcPr>
                  <w:tcW w:w="145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AKTİF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HG İŞLETMESİ 01.10.2010 TARİHLİ AÇILIŞ BİLANÇOSU</w:t>
                  </w:r>
                </w:p>
              </w:tc>
              <w:tc>
                <w:tcPr>
                  <w:tcW w:w="9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PASİF</w:t>
                  </w:r>
                </w:p>
              </w:tc>
            </w:tr>
            <w:tr w:rsidR="001C407E" w:rsidRPr="004C31B0">
              <w:trPr>
                <w:trHeight w:val="196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I. DÖNEN VARLIKLAR.............................................53.000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100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Kasa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.........................12.000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102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Bankalar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..................6.000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153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Ticari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Mallar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........35.000</w:t>
                  </w:r>
                </w:p>
                <w:p w:rsidR="001C407E" w:rsidRPr="004C31B0" w:rsidRDefault="001C407E" w:rsidP="001C407E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II. DURAN VARLIKLAR............................................65.000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253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Tesis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Makine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Cihaz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Hs</w:t>
                  </w:r>
                  <w:proofErr w:type="gram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</w:t>
                  </w:r>
                  <w:proofErr w:type="gram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25.000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255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Demirbaşlar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........40.000</w:t>
                  </w:r>
                </w:p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III. KISA VADELİ YABANCI KAYNAK........70.000 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300 Banka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Kresileri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.....30.000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321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Borç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Senetleri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.......40.000</w:t>
                  </w:r>
                </w:p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IV. UZUN VADELİ YABANCI KAYNAK........28.000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420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Satıcılar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................28.000</w:t>
                  </w:r>
                </w:p>
                <w:p w:rsidR="001C407E" w:rsidRPr="004C31B0" w:rsidRDefault="001C407E" w:rsidP="001C407E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V. ÖZ KAYNAKLAR..............................................20.000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500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Sermaye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..................20.000</w:t>
                  </w:r>
                </w:p>
              </w:tc>
            </w:tr>
            <w:tr w:rsidR="001C407E" w:rsidRPr="004C31B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AKTİF TOPLAM</w:t>
                  </w:r>
                </w:p>
              </w:tc>
              <w:tc>
                <w:tcPr>
                  <w:tcW w:w="31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118.000</w:t>
                  </w:r>
                </w:p>
              </w:tc>
              <w:tc>
                <w:tcPr>
                  <w:tcW w:w="328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PASİF TOPLAM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118.000</w:t>
                  </w:r>
                </w:p>
              </w:tc>
            </w:tr>
          </w:tbl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Çözüm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4.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Aşama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Açılış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bilançosunundan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sonra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aynı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yevmiye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defterine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kaydederiz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Yevmiye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defterine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kaydedildiği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ilk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yevmiye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maddesi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açılış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kaydı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olarak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bilinir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Burada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da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yevmiye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defterinin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borç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kısmına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kaydederiz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Çünkü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yani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aktif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karakterli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ilk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kayıtlar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devamlı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borç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tarafa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yapılır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Varlıklarda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artış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olduğu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için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artış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gösterir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artışlar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borç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tarafta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gösterilir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C407E" w:rsidRPr="004C31B0" w:rsidRDefault="001C407E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yevmiye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defterinin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alacak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kısmına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kaydederiz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Çünkü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yani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pasif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karakterli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ilk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kayıtlar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devamlı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alacak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tarafa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yapılır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Kaynaklarda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artış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olduğu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için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artış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gösterir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artışlar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alacak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tarafta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gösterilir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D57C74" w:rsidRPr="004C31B0" w:rsidRDefault="00D57C74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D57C74" w:rsidRPr="004C31B0" w:rsidRDefault="00D57C74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D57C74" w:rsidRPr="004C31B0" w:rsidRDefault="00D57C74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D57C74" w:rsidRPr="004C31B0" w:rsidRDefault="00D57C74" w:rsidP="001C4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816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Yevmiye maddesi açılış kaydı"/>
            </w:tblPr>
            <w:tblGrid>
              <w:gridCol w:w="530"/>
              <w:gridCol w:w="5550"/>
              <w:gridCol w:w="908"/>
              <w:gridCol w:w="1172"/>
            </w:tblGrid>
            <w:tr w:rsidR="001C407E" w:rsidRPr="004C31B0">
              <w:trPr>
                <w:trHeight w:val="525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Mad. No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AÇIKLAMA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BORÇ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ALACAK</w:t>
                  </w:r>
                </w:p>
              </w:tc>
            </w:tr>
            <w:tr w:rsidR="001C407E" w:rsidRPr="004C31B0">
              <w:trPr>
                <w:trHeight w:val="900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....................................01.10.20</w:t>
                  </w:r>
                  <w:r w:rsidR="00D57C74"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......................................</w:t>
                  </w:r>
                </w:p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100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Kasa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102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Bankalar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153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Ticari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Mallar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253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Tesis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Makine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ve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Cihazlar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255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Demirbaşlar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</w:p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300 Banka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Kredileri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321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Borç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Senetleri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420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Satıcılar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500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Sermaye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Hesabı</w:t>
                  </w:r>
                  <w:proofErr w:type="spellEnd"/>
                </w:p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......................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Açılış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Kaydının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Düzenlenmesi</w:t>
                  </w:r>
                  <w:proofErr w:type="spellEnd"/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...............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6.000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35.000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25.000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40.000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1C407E" w:rsidRPr="004C31B0" w:rsidRDefault="001C407E" w:rsidP="001C40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30.000 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40.000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28.000</w:t>
                  </w: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20.000</w:t>
                  </w:r>
                </w:p>
              </w:tc>
            </w:tr>
          </w:tbl>
          <w:p w:rsidR="001C407E" w:rsidRPr="004C31B0" w:rsidRDefault="001C407E" w:rsidP="001C407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Çözüm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5.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Aşama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sınıflandırmak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için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büyük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defterleri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defteri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kebir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kullanırız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Bilançoda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veya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yevmiye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defterinde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kullanılan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için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ayrı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ayrı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büyük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defter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açarız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tutarları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ilgili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tarafa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kaydederiz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proofErr w:type="gram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varlık</w:t>
            </w:r>
            <w:proofErr w:type="spellEnd"/>
            <w:proofErr w:type="gram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ilk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kayıt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borç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tarafa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kaynak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hesaplarında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ilk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kayıt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alacak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tarafa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kaydedilir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başka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ifadeyle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yevmiye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defterindeki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açılış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kaydında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borç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tarafta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borçludur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Alacak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tarafta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alan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hesaplar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alacaklıdır</w:t>
            </w:r>
            <w:proofErr w:type="spellEnd"/>
            <w:r w:rsidRPr="004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1C407E" w:rsidRPr="004C31B0" w:rsidTr="001C407E">
        <w:trPr>
          <w:tblCellSpacing w:w="0" w:type="dxa"/>
          <w:jc w:val="center"/>
        </w:trPr>
        <w:tc>
          <w:tcPr>
            <w:tcW w:w="5880" w:type="dxa"/>
            <w:hideMark/>
          </w:tcPr>
          <w:tbl>
            <w:tblPr>
              <w:tblW w:w="45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1368"/>
              <w:gridCol w:w="1368"/>
              <w:gridCol w:w="1030"/>
            </w:tblGrid>
            <w:tr w:rsidR="001C407E" w:rsidRPr="004C31B0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100 KASA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ALACAK</w:t>
                  </w:r>
                </w:p>
              </w:tc>
            </w:tr>
            <w:tr w:rsidR="001C407E" w:rsidRPr="004C31B0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12.000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C407E" w:rsidRPr="004C31B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1C407E" w:rsidRPr="004C31B0" w:rsidRDefault="001C407E" w:rsidP="001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45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1368"/>
              <w:gridCol w:w="1368"/>
              <w:gridCol w:w="1030"/>
            </w:tblGrid>
            <w:tr w:rsidR="001C407E" w:rsidRPr="004C31B0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102 BANKALAR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ALACAK</w:t>
                  </w:r>
                </w:p>
              </w:tc>
            </w:tr>
            <w:tr w:rsidR="001C407E" w:rsidRPr="004C31B0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6.000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C407E" w:rsidRPr="004C31B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1C407E" w:rsidRPr="004C31B0" w:rsidRDefault="001C407E" w:rsidP="001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45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1367"/>
              <w:gridCol w:w="1367"/>
              <w:gridCol w:w="1030"/>
            </w:tblGrid>
            <w:tr w:rsidR="001C407E" w:rsidRPr="004C31B0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153 TİCARİ MALLAR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ALACAK</w:t>
                  </w:r>
                </w:p>
              </w:tc>
            </w:tr>
            <w:tr w:rsidR="001C407E" w:rsidRPr="004C31B0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35.000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C407E" w:rsidRPr="004C31B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1C407E" w:rsidRPr="004C31B0" w:rsidRDefault="001C407E" w:rsidP="001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45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1367"/>
              <w:gridCol w:w="1367"/>
              <w:gridCol w:w="1030"/>
            </w:tblGrid>
            <w:tr w:rsidR="001C407E" w:rsidRPr="004C31B0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253 TESİS, MAKİNE VE CİHAZLAR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ALACAK</w:t>
                  </w:r>
                </w:p>
              </w:tc>
            </w:tr>
            <w:tr w:rsidR="001C407E" w:rsidRPr="004C31B0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25.000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C407E" w:rsidRPr="004C31B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1C407E" w:rsidRPr="004C31B0" w:rsidRDefault="001C407E" w:rsidP="001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45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1367"/>
              <w:gridCol w:w="1367"/>
              <w:gridCol w:w="1030"/>
            </w:tblGrid>
            <w:tr w:rsidR="001C407E" w:rsidRPr="004C31B0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255 DEMİRBAŞLAR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ALACAK</w:t>
                  </w:r>
                </w:p>
              </w:tc>
            </w:tr>
            <w:tr w:rsidR="001C407E" w:rsidRPr="004C31B0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40.000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C407E" w:rsidRPr="004C31B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1C407E" w:rsidRPr="004C31B0" w:rsidRDefault="001C407E" w:rsidP="001C4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4C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1C407E" w:rsidRPr="004C31B0" w:rsidRDefault="001C407E" w:rsidP="001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1C407E" w:rsidRPr="004C31B0" w:rsidRDefault="001C407E" w:rsidP="001C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71F55" w:rsidRPr="004C31B0" w:rsidRDefault="004C31B0">
      <w:pPr>
        <w:rPr>
          <w:rFonts w:ascii="Times New Roman" w:hAnsi="Times New Roman" w:cs="Times New Roman"/>
          <w:sz w:val="24"/>
          <w:szCs w:val="24"/>
        </w:rPr>
      </w:pPr>
    </w:p>
    <w:sectPr w:rsidR="00471F55" w:rsidRPr="004C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7E"/>
    <w:rsid w:val="0004505C"/>
    <w:rsid w:val="001C1CF8"/>
    <w:rsid w:val="001C407E"/>
    <w:rsid w:val="004C31B0"/>
    <w:rsid w:val="00D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56F08-0893-4813-B3E0-4B79C6EF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Engin Demiral</cp:lastModifiedBy>
  <cp:revision>3</cp:revision>
  <dcterms:created xsi:type="dcterms:W3CDTF">2017-09-27T05:12:00Z</dcterms:created>
  <dcterms:modified xsi:type="dcterms:W3CDTF">2019-09-22T08:17:00Z</dcterms:modified>
</cp:coreProperties>
</file>